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FC03C" w14:textId="0A2FB874" w:rsidR="46BFD00F" w:rsidRDefault="46BFD00F" w:rsidP="46BFD00F"/>
    <w:p w14:paraId="02992AAA" w14:textId="78EBDF03" w:rsidR="755A0964" w:rsidRDefault="755A0964" w:rsidP="46BFD00F">
      <w:pPr>
        <w:spacing w:after="0" w:line="360" w:lineRule="auto"/>
        <w:rPr>
          <w:rFonts w:eastAsiaTheme="minorEastAsia"/>
          <w:color w:val="0F4761" w:themeColor="accent1" w:themeShade="BF"/>
          <w:sz w:val="52"/>
          <w:szCs w:val="52"/>
        </w:rPr>
      </w:pPr>
      <w:r w:rsidRPr="46BFD00F">
        <w:rPr>
          <w:rFonts w:asciiTheme="majorHAnsi" w:eastAsiaTheme="majorEastAsia" w:hAnsiTheme="majorHAnsi" w:cstheme="majorBidi"/>
          <w:color w:val="0F4761" w:themeColor="accent1" w:themeShade="BF"/>
          <w:sz w:val="52"/>
          <w:szCs w:val="52"/>
          <w:lang w:val="en-GB"/>
        </w:rPr>
        <w:t>Decision matrix “Should We Use VR Here?”</w:t>
      </w:r>
      <w:r w:rsidRPr="46BFD00F">
        <w:rPr>
          <w:rFonts w:eastAsiaTheme="minorEastAsia"/>
          <w:b/>
          <w:bCs/>
          <w:color w:val="0F4761" w:themeColor="accent1" w:themeShade="BF"/>
          <w:sz w:val="52"/>
          <w:szCs w:val="52"/>
          <w:lang w:val="en-GB"/>
        </w:rPr>
        <w:t xml:space="preserve"> </w:t>
      </w:r>
    </w:p>
    <w:p w14:paraId="71B42480" w14:textId="66920011" w:rsidR="755A0964" w:rsidRDefault="755A0964" w:rsidP="46BFD00F">
      <w:pPr>
        <w:spacing w:after="0" w:line="360" w:lineRule="auto"/>
        <w:rPr>
          <w:rFonts w:eastAsiaTheme="minorEastAsia"/>
          <w:sz w:val="22"/>
          <w:szCs w:val="22"/>
        </w:rPr>
      </w:pPr>
      <w:r w:rsidRPr="46BFD00F">
        <w:rPr>
          <w:rFonts w:eastAsiaTheme="minorEastAsia"/>
          <w:b/>
          <w:bCs/>
          <w:sz w:val="22"/>
          <w:szCs w:val="22"/>
          <w:u w:val="single"/>
          <w:lang w:val="en-GB"/>
        </w:rPr>
        <w:t>Decision Matrix</w:t>
      </w:r>
      <w:r w:rsidRPr="46BFD00F">
        <w:rPr>
          <w:rFonts w:eastAsiaTheme="minorEastAsia"/>
          <w:sz w:val="22"/>
          <w:szCs w:val="22"/>
          <w:u w:val="single"/>
          <w:lang w:val="en-GB"/>
        </w:rPr>
        <w:t xml:space="preserve"> to guide whether a VR-based instructional solution is appropriate.</w:t>
      </w:r>
    </w:p>
    <w:p w14:paraId="48B0E8C0" w14:textId="532C0AA2" w:rsidR="755A0964" w:rsidRDefault="755A0964" w:rsidP="46BFD00F">
      <w:pPr>
        <w:spacing w:after="0" w:line="360" w:lineRule="auto"/>
        <w:rPr>
          <w:rFonts w:eastAsiaTheme="minorEastAsia"/>
          <w:sz w:val="22"/>
          <w:szCs w:val="22"/>
        </w:rPr>
      </w:pPr>
      <w:r w:rsidRPr="46BFD00F">
        <w:rPr>
          <w:rFonts w:eastAsiaTheme="minorEastAsia"/>
          <w:strike/>
          <w:sz w:val="22"/>
          <w:szCs w:val="22"/>
          <w:lang w:val="en-GB"/>
        </w:rPr>
        <w:t> </w:t>
      </w:r>
    </w:p>
    <w:tbl>
      <w:tblPr>
        <w:tblStyle w:val="Tabela-Siatka"/>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60"/>
        <w:gridCol w:w="2160"/>
        <w:gridCol w:w="2145"/>
        <w:gridCol w:w="2835"/>
      </w:tblGrid>
      <w:tr w:rsidR="46BFD00F" w14:paraId="7C98F319" w14:textId="77777777" w:rsidTr="46BFD00F">
        <w:trPr>
          <w:trHeight w:val="300"/>
        </w:trPr>
        <w:tc>
          <w:tcPr>
            <w:tcW w:w="2460" w:type="dxa"/>
            <w:tcMar>
              <w:left w:w="105" w:type="dxa"/>
              <w:right w:w="105" w:type="dxa"/>
            </w:tcMar>
          </w:tcPr>
          <w:p w14:paraId="69F592CF" w14:textId="77F679AB" w:rsidR="46BFD00F" w:rsidRDefault="46BFD00F" w:rsidP="46BFD00F">
            <w:pPr>
              <w:spacing w:line="276" w:lineRule="auto"/>
              <w:rPr>
                <w:rFonts w:eastAsiaTheme="minorEastAsia"/>
                <w:sz w:val="22"/>
                <w:szCs w:val="22"/>
              </w:rPr>
            </w:pPr>
            <w:r w:rsidRPr="46BFD00F">
              <w:rPr>
                <w:rFonts w:eastAsiaTheme="minorEastAsia"/>
                <w:sz w:val="22"/>
                <w:szCs w:val="22"/>
              </w:rPr>
              <w:t>Criterion</w:t>
            </w:r>
          </w:p>
        </w:tc>
        <w:tc>
          <w:tcPr>
            <w:tcW w:w="2160" w:type="dxa"/>
            <w:tcMar>
              <w:left w:w="105" w:type="dxa"/>
              <w:right w:w="105" w:type="dxa"/>
            </w:tcMar>
          </w:tcPr>
          <w:p w14:paraId="29B380CA" w14:textId="49C9D7F7" w:rsidR="46BFD00F" w:rsidRDefault="46BFD00F" w:rsidP="46BFD00F">
            <w:pPr>
              <w:spacing w:line="276" w:lineRule="auto"/>
              <w:rPr>
                <w:rFonts w:eastAsiaTheme="minorEastAsia"/>
                <w:sz w:val="22"/>
                <w:szCs w:val="22"/>
              </w:rPr>
            </w:pPr>
            <w:r w:rsidRPr="46BFD00F">
              <w:rPr>
                <w:rFonts w:eastAsiaTheme="minorEastAsia"/>
                <w:sz w:val="22"/>
                <w:szCs w:val="22"/>
              </w:rPr>
              <w:t>Low (1)</w:t>
            </w:r>
          </w:p>
        </w:tc>
        <w:tc>
          <w:tcPr>
            <w:tcW w:w="2145" w:type="dxa"/>
            <w:tcMar>
              <w:left w:w="105" w:type="dxa"/>
              <w:right w:w="105" w:type="dxa"/>
            </w:tcMar>
          </w:tcPr>
          <w:p w14:paraId="70D27B10" w14:textId="4FB3FD71" w:rsidR="46BFD00F" w:rsidRDefault="46BFD00F" w:rsidP="46BFD00F">
            <w:pPr>
              <w:spacing w:line="276" w:lineRule="auto"/>
              <w:rPr>
                <w:rFonts w:eastAsiaTheme="minorEastAsia"/>
                <w:sz w:val="22"/>
                <w:szCs w:val="22"/>
              </w:rPr>
            </w:pPr>
            <w:r w:rsidRPr="46BFD00F">
              <w:rPr>
                <w:rFonts w:eastAsiaTheme="minorEastAsia"/>
                <w:sz w:val="22"/>
                <w:szCs w:val="22"/>
              </w:rPr>
              <w:t>Medium (2)</w:t>
            </w:r>
          </w:p>
        </w:tc>
        <w:tc>
          <w:tcPr>
            <w:tcW w:w="2835" w:type="dxa"/>
            <w:tcMar>
              <w:left w:w="105" w:type="dxa"/>
              <w:right w:w="105" w:type="dxa"/>
            </w:tcMar>
          </w:tcPr>
          <w:p w14:paraId="55D4AF6A" w14:textId="3BD0EC82" w:rsidR="46BFD00F" w:rsidRDefault="46BFD00F" w:rsidP="46BFD00F">
            <w:pPr>
              <w:spacing w:line="276" w:lineRule="auto"/>
              <w:rPr>
                <w:rFonts w:eastAsiaTheme="minorEastAsia"/>
                <w:sz w:val="22"/>
                <w:szCs w:val="22"/>
              </w:rPr>
            </w:pPr>
            <w:r w:rsidRPr="46BFD00F">
              <w:rPr>
                <w:rFonts w:eastAsiaTheme="minorEastAsia"/>
                <w:sz w:val="22"/>
                <w:szCs w:val="22"/>
              </w:rPr>
              <w:t>High (3)</w:t>
            </w:r>
          </w:p>
        </w:tc>
      </w:tr>
      <w:tr w:rsidR="46BFD00F" w14:paraId="4A7015CB" w14:textId="77777777" w:rsidTr="46BFD00F">
        <w:trPr>
          <w:trHeight w:val="300"/>
        </w:trPr>
        <w:tc>
          <w:tcPr>
            <w:tcW w:w="2460" w:type="dxa"/>
            <w:tcMar>
              <w:left w:w="105" w:type="dxa"/>
              <w:right w:w="105" w:type="dxa"/>
            </w:tcMar>
          </w:tcPr>
          <w:p w14:paraId="3A07976F" w14:textId="1CFACB5B" w:rsidR="46BFD00F" w:rsidRDefault="46BFD00F" w:rsidP="46BFD00F">
            <w:pPr>
              <w:spacing w:line="276" w:lineRule="auto"/>
              <w:rPr>
                <w:rFonts w:eastAsiaTheme="minorEastAsia"/>
                <w:sz w:val="22"/>
                <w:szCs w:val="22"/>
              </w:rPr>
            </w:pPr>
            <w:r w:rsidRPr="46BFD00F">
              <w:rPr>
                <w:rFonts w:eastAsiaTheme="minorEastAsia"/>
                <w:sz w:val="22"/>
                <w:szCs w:val="22"/>
              </w:rPr>
              <w:t>Spatial Complexity</w:t>
            </w:r>
          </w:p>
        </w:tc>
        <w:tc>
          <w:tcPr>
            <w:tcW w:w="2160" w:type="dxa"/>
            <w:tcMar>
              <w:left w:w="105" w:type="dxa"/>
              <w:right w:w="105" w:type="dxa"/>
            </w:tcMar>
          </w:tcPr>
          <w:p w14:paraId="150EAFE1" w14:textId="26677B26" w:rsidR="46BFD00F" w:rsidRDefault="46BFD00F" w:rsidP="46BFD00F">
            <w:pPr>
              <w:spacing w:line="276" w:lineRule="auto"/>
              <w:rPr>
                <w:rFonts w:eastAsiaTheme="minorEastAsia"/>
                <w:sz w:val="22"/>
                <w:szCs w:val="22"/>
              </w:rPr>
            </w:pPr>
            <w:r w:rsidRPr="46BFD00F">
              <w:rPr>
                <w:rFonts w:eastAsiaTheme="minorEastAsia"/>
                <w:sz w:val="22"/>
                <w:szCs w:val="22"/>
                <w:lang w:val="en-GB"/>
              </w:rPr>
              <w:t>Little/no spatial interaction needed</w:t>
            </w:r>
          </w:p>
        </w:tc>
        <w:tc>
          <w:tcPr>
            <w:tcW w:w="2145" w:type="dxa"/>
            <w:tcMar>
              <w:left w:w="105" w:type="dxa"/>
              <w:right w:w="105" w:type="dxa"/>
            </w:tcMar>
          </w:tcPr>
          <w:p w14:paraId="304B8616" w14:textId="323D8059" w:rsidR="46BFD00F" w:rsidRDefault="46BFD00F" w:rsidP="46BFD00F">
            <w:pPr>
              <w:spacing w:line="276" w:lineRule="auto"/>
              <w:rPr>
                <w:rFonts w:eastAsiaTheme="minorEastAsia"/>
                <w:sz w:val="22"/>
                <w:szCs w:val="22"/>
              </w:rPr>
            </w:pPr>
            <w:r w:rsidRPr="46BFD00F">
              <w:rPr>
                <w:rFonts w:eastAsiaTheme="minorEastAsia"/>
                <w:sz w:val="22"/>
                <w:szCs w:val="22"/>
              </w:rPr>
              <w:t>Some spatial context helps</w:t>
            </w:r>
          </w:p>
        </w:tc>
        <w:tc>
          <w:tcPr>
            <w:tcW w:w="2835" w:type="dxa"/>
            <w:tcMar>
              <w:left w:w="105" w:type="dxa"/>
              <w:right w:w="105" w:type="dxa"/>
            </w:tcMar>
          </w:tcPr>
          <w:p w14:paraId="1E19626F" w14:textId="089DE6D4" w:rsidR="46BFD00F" w:rsidRDefault="46BFD00F" w:rsidP="46BFD00F">
            <w:pPr>
              <w:spacing w:line="276" w:lineRule="auto"/>
              <w:rPr>
                <w:rFonts w:eastAsiaTheme="minorEastAsia"/>
                <w:sz w:val="22"/>
                <w:szCs w:val="22"/>
              </w:rPr>
            </w:pPr>
            <w:r w:rsidRPr="46BFD00F">
              <w:rPr>
                <w:rFonts w:eastAsiaTheme="minorEastAsia"/>
                <w:sz w:val="22"/>
                <w:szCs w:val="22"/>
                <w:lang w:val="en-GB"/>
              </w:rPr>
              <w:t>Strong spatial navigation/manipulation required</w:t>
            </w:r>
          </w:p>
        </w:tc>
      </w:tr>
      <w:tr w:rsidR="46BFD00F" w14:paraId="7353C78B" w14:textId="77777777" w:rsidTr="46BFD00F">
        <w:trPr>
          <w:trHeight w:val="300"/>
        </w:trPr>
        <w:tc>
          <w:tcPr>
            <w:tcW w:w="2460" w:type="dxa"/>
            <w:tcMar>
              <w:left w:w="105" w:type="dxa"/>
              <w:right w:w="105" w:type="dxa"/>
            </w:tcMar>
          </w:tcPr>
          <w:p w14:paraId="59F923A6" w14:textId="51EAE33E" w:rsidR="46BFD00F" w:rsidRDefault="46BFD00F" w:rsidP="46BFD00F">
            <w:pPr>
              <w:spacing w:line="276" w:lineRule="auto"/>
              <w:rPr>
                <w:rFonts w:eastAsiaTheme="minorEastAsia"/>
                <w:sz w:val="22"/>
                <w:szCs w:val="22"/>
              </w:rPr>
            </w:pPr>
            <w:r w:rsidRPr="46BFD00F">
              <w:rPr>
                <w:rFonts w:eastAsiaTheme="minorEastAsia"/>
                <w:sz w:val="22"/>
                <w:szCs w:val="22"/>
              </w:rPr>
              <w:t>Safety Constraints</w:t>
            </w:r>
          </w:p>
        </w:tc>
        <w:tc>
          <w:tcPr>
            <w:tcW w:w="2160" w:type="dxa"/>
            <w:tcMar>
              <w:left w:w="105" w:type="dxa"/>
              <w:right w:w="105" w:type="dxa"/>
            </w:tcMar>
          </w:tcPr>
          <w:p w14:paraId="0C5F39BD" w14:textId="6C3F1D25" w:rsidR="46BFD00F" w:rsidRDefault="46BFD00F" w:rsidP="46BFD00F">
            <w:pPr>
              <w:spacing w:line="276" w:lineRule="auto"/>
              <w:rPr>
                <w:rFonts w:eastAsiaTheme="minorEastAsia"/>
                <w:sz w:val="22"/>
                <w:szCs w:val="22"/>
              </w:rPr>
            </w:pPr>
            <w:r w:rsidRPr="46BFD00F">
              <w:rPr>
                <w:rFonts w:eastAsiaTheme="minorEastAsia"/>
                <w:sz w:val="22"/>
                <w:szCs w:val="22"/>
              </w:rPr>
              <w:t>No safety concerns</w:t>
            </w:r>
          </w:p>
        </w:tc>
        <w:tc>
          <w:tcPr>
            <w:tcW w:w="2145" w:type="dxa"/>
            <w:tcMar>
              <w:left w:w="105" w:type="dxa"/>
              <w:right w:w="105" w:type="dxa"/>
            </w:tcMar>
          </w:tcPr>
          <w:p w14:paraId="6CEA1BD1" w14:textId="42B9D5CC" w:rsidR="46BFD00F" w:rsidRDefault="46BFD00F" w:rsidP="46BFD00F">
            <w:pPr>
              <w:spacing w:line="276" w:lineRule="auto"/>
              <w:rPr>
                <w:rFonts w:eastAsiaTheme="minorEastAsia"/>
                <w:sz w:val="22"/>
                <w:szCs w:val="22"/>
              </w:rPr>
            </w:pPr>
            <w:r w:rsidRPr="46BFD00F">
              <w:rPr>
                <w:rFonts w:eastAsiaTheme="minorEastAsia"/>
                <w:sz w:val="22"/>
                <w:szCs w:val="22"/>
              </w:rPr>
              <w:t>Minor safety risks</w:t>
            </w:r>
          </w:p>
        </w:tc>
        <w:tc>
          <w:tcPr>
            <w:tcW w:w="2835" w:type="dxa"/>
            <w:tcMar>
              <w:left w:w="105" w:type="dxa"/>
              <w:right w:w="105" w:type="dxa"/>
            </w:tcMar>
          </w:tcPr>
          <w:p w14:paraId="63DD1905" w14:textId="0E5F1B10" w:rsidR="46BFD00F" w:rsidRDefault="46BFD00F" w:rsidP="46BFD00F">
            <w:pPr>
              <w:spacing w:line="276" w:lineRule="auto"/>
              <w:rPr>
                <w:rFonts w:eastAsiaTheme="minorEastAsia"/>
                <w:sz w:val="22"/>
                <w:szCs w:val="22"/>
              </w:rPr>
            </w:pPr>
            <w:r w:rsidRPr="46BFD00F">
              <w:rPr>
                <w:rFonts w:eastAsiaTheme="minorEastAsia"/>
                <w:sz w:val="22"/>
                <w:szCs w:val="22"/>
                <w:lang w:val="en-GB"/>
              </w:rPr>
              <w:t>Real-world activity is hazardous</w:t>
            </w:r>
          </w:p>
        </w:tc>
      </w:tr>
      <w:tr w:rsidR="46BFD00F" w14:paraId="5B9184C5" w14:textId="77777777" w:rsidTr="46BFD00F">
        <w:trPr>
          <w:trHeight w:val="300"/>
        </w:trPr>
        <w:tc>
          <w:tcPr>
            <w:tcW w:w="2460" w:type="dxa"/>
            <w:tcMar>
              <w:left w:w="105" w:type="dxa"/>
              <w:right w:w="105" w:type="dxa"/>
            </w:tcMar>
          </w:tcPr>
          <w:p w14:paraId="603DBB03" w14:textId="67884657" w:rsidR="46BFD00F" w:rsidRDefault="46BFD00F" w:rsidP="46BFD00F">
            <w:pPr>
              <w:spacing w:line="276" w:lineRule="auto"/>
              <w:rPr>
                <w:rFonts w:eastAsiaTheme="minorEastAsia"/>
                <w:sz w:val="22"/>
                <w:szCs w:val="22"/>
              </w:rPr>
            </w:pPr>
            <w:r w:rsidRPr="46BFD00F">
              <w:rPr>
                <w:rFonts w:eastAsiaTheme="minorEastAsia"/>
                <w:sz w:val="22"/>
                <w:szCs w:val="22"/>
              </w:rPr>
              <w:t>Rarity/Cost of Equipment</w:t>
            </w:r>
          </w:p>
        </w:tc>
        <w:tc>
          <w:tcPr>
            <w:tcW w:w="2160" w:type="dxa"/>
            <w:tcMar>
              <w:left w:w="105" w:type="dxa"/>
              <w:right w:w="105" w:type="dxa"/>
            </w:tcMar>
          </w:tcPr>
          <w:p w14:paraId="0E43C66F" w14:textId="2AE1ECA5" w:rsidR="46BFD00F" w:rsidRDefault="46BFD00F" w:rsidP="46BFD00F">
            <w:pPr>
              <w:spacing w:line="276" w:lineRule="auto"/>
              <w:rPr>
                <w:rFonts w:eastAsiaTheme="minorEastAsia"/>
                <w:sz w:val="22"/>
                <w:szCs w:val="22"/>
              </w:rPr>
            </w:pPr>
            <w:r w:rsidRPr="46BFD00F">
              <w:rPr>
                <w:rFonts w:eastAsiaTheme="minorEastAsia"/>
                <w:sz w:val="22"/>
                <w:szCs w:val="22"/>
              </w:rPr>
              <w:t>Equipment is common/cheap</w:t>
            </w:r>
          </w:p>
        </w:tc>
        <w:tc>
          <w:tcPr>
            <w:tcW w:w="2145" w:type="dxa"/>
            <w:tcMar>
              <w:left w:w="105" w:type="dxa"/>
              <w:right w:w="105" w:type="dxa"/>
            </w:tcMar>
          </w:tcPr>
          <w:p w14:paraId="5972A4AF" w14:textId="19E936D2" w:rsidR="46BFD00F" w:rsidRDefault="46BFD00F" w:rsidP="46BFD00F">
            <w:pPr>
              <w:spacing w:line="276" w:lineRule="auto"/>
              <w:rPr>
                <w:rFonts w:eastAsiaTheme="minorEastAsia"/>
                <w:sz w:val="22"/>
                <w:szCs w:val="22"/>
              </w:rPr>
            </w:pPr>
            <w:r w:rsidRPr="46BFD00F">
              <w:rPr>
                <w:rFonts w:eastAsiaTheme="minorEastAsia"/>
                <w:sz w:val="22"/>
                <w:szCs w:val="22"/>
                <w:lang w:val="en-GB"/>
              </w:rPr>
              <w:t>Equipment is somewhat costly or limited</w:t>
            </w:r>
          </w:p>
        </w:tc>
        <w:tc>
          <w:tcPr>
            <w:tcW w:w="2835" w:type="dxa"/>
            <w:tcMar>
              <w:left w:w="105" w:type="dxa"/>
              <w:right w:w="105" w:type="dxa"/>
            </w:tcMar>
          </w:tcPr>
          <w:p w14:paraId="52C3379D" w14:textId="380AC17B" w:rsidR="46BFD00F" w:rsidRDefault="46BFD00F" w:rsidP="46BFD00F">
            <w:pPr>
              <w:spacing w:line="276" w:lineRule="auto"/>
              <w:rPr>
                <w:rFonts w:eastAsiaTheme="minorEastAsia"/>
                <w:sz w:val="22"/>
                <w:szCs w:val="22"/>
              </w:rPr>
            </w:pPr>
            <w:r w:rsidRPr="46BFD00F">
              <w:rPr>
                <w:rFonts w:eastAsiaTheme="minorEastAsia"/>
                <w:sz w:val="22"/>
                <w:szCs w:val="22"/>
                <w:lang w:val="en-GB"/>
              </w:rPr>
              <w:t>Equipment is rare, expensive, or impractical to access</w:t>
            </w:r>
          </w:p>
        </w:tc>
      </w:tr>
      <w:tr w:rsidR="46BFD00F" w14:paraId="4604412C" w14:textId="77777777" w:rsidTr="46BFD00F">
        <w:trPr>
          <w:trHeight w:val="300"/>
        </w:trPr>
        <w:tc>
          <w:tcPr>
            <w:tcW w:w="2460" w:type="dxa"/>
            <w:tcMar>
              <w:left w:w="105" w:type="dxa"/>
              <w:right w:w="105" w:type="dxa"/>
            </w:tcMar>
          </w:tcPr>
          <w:p w14:paraId="2B03D4A2" w14:textId="1F8BF89D" w:rsidR="46BFD00F" w:rsidRDefault="46BFD00F" w:rsidP="46BFD00F">
            <w:pPr>
              <w:spacing w:line="276" w:lineRule="auto"/>
              <w:rPr>
                <w:rFonts w:eastAsiaTheme="minorEastAsia"/>
                <w:sz w:val="22"/>
                <w:szCs w:val="22"/>
              </w:rPr>
            </w:pPr>
            <w:r w:rsidRPr="46BFD00F">
              <w:rPr>
                <w:rFonts w:eastAsiaTheme="minorEastAsia"/>
                <w:sz w:val="22"/>
                <w:szCs w:val="22"/>
              </w:rPr>
              <w:t>Bloom’s Taxonomy Level Level</w:t>
            </w:r>
          </w:p>
        </w:tc>
        <w:tc>
          <w:tcPr>
            <w:tcW w:w="2160" w:type="dxa"/>
            <w:tcMar>
              <w:left w:w="105" w:type="dxa"/>
              <w:right w:w="105" w:type="dxa"/>
            </w:tcMar>
          </w:tcPr>
          <w:p w14:paraId="7B9198AE" w14:textId="38A04542" w:rsidR="46BFD00F" w:rsidRDefault="46BFD00F" w:rsidP="46BFD00F">
            <w:pPr>
              <w:spacing w:line="276" w:lineRule="auto"/>
              <w:rPr>
                <w:rFonts w:eastAsiaTheme="minorEastAsia"/>
                <w:sz w:val="22"/>
                <w:szCs w:val="22"/>
              </w:rPr>
            </w:pPr>
            <w:r w:rsidRPr="46BFD00F">
              <w:rPr>
                <w:rFonts w:eastAsiaTheme="minorEastAsia"/>
                <w:sz w:val="22"/>
                <w:szCs w:val="22"/>
              </w:rPr>
              <w:t>Remember/Understand</w:t>
            </w:r>
          </w:p>
        </w:tc>
        <w:tc>
          <w:tcPr>
            <w:tcW w:w="2145" w:type="dxa"/>
            <w:tcMar>
              <w:left w:w="105" w:type="dxa"/>
              <w:right w:w="105" w:type="dxa"/>
            </w:tcMar>
          </w:tcPr>
          <w:p w14:paraId="6BC14300" w14:textId="3E46A90E" w:rsidR="46BFD00F" w:rsidRDefault="46BFD00F" w:rsidP="46BFD00F">
            <w:pPr>
              <w:spacing w:line="276" w:lineRule="auto"/>
              <w:rPr>
                <w:rFonts w:eastAsiaTheme="minorEastAsia"/>
                <w:sz w:val="22"/>
                <w:szCs w:val="22"/>
              </w:rPr>
            </w:pPr>
            <w:r w:rsidRPr="46BFD00F">
              <w:rPr>
                <w:rFonts w:eastAsiaTheme="minorEastAsia"/>
                <w:sz w:val="22"/>
                <w:szCs w:val="22"/>
              </w:rPr>
              <w:t>Apply/Analyze</w:t>
            </w:r>
          </w:p>
        </w:tc>
        <w:tc>
          <w:tcPr>
            <w:tcW w:w="2835" w:type="dxa"/>
            <w:tcMar>
              <w:left w:w="105" w:type="dxa"/>
              <w:right w:w="105" w:type="dxa"/>
            </w:tcMar>
          </w:tcPr>
          <w:p w14:paraId="7DC30D53" w14:textId="3DAF913F" w:rsidR="46BFD00F" w:rsidRDefault="46BFD00F" w:rsidP="46BFD00F">
            <w:pPr>
              <w:spacing w:line="276" w:lineRule="auto"/>
              <w:rPr>
                <w:rFonts w:eastAsiaTheme="minorEastAsia"/>
                <w:sz w:val="22"/>
                <w:szCs w:val="22"/>
              </w:rPr>
            </w:pPr>
            <w:r w:rsidRPr="46BFD00F">
              <w:rPr>
                <w:rFonts w:eastAsiaTheme="minorEastAsia"/>
                <w:sz w:val="22"/>
                <w:szCs w:val="22"/>
              </w:rPr>
              <w:t>Evaluate/Create</w:t>
            </w:r>
          </w:p>
        </w:tc>
      </w:tr>
      <w:tr w:rsidR="46BFD00F" w14:paraId="64AED8FF" w14:textId="77777777" w:rsidTr="46BFD00F">
        <w:trPr>
          <w:trHeight w:val="300"/>
        </w:trPr>
        <w:tc>
          <w:tcPr>
            <w:tcW w:w="2460" w:type="dxa"/>
            <w:tcMar>
              <w:left w:w="105" w:type="dxa"/>
              <w:right w:w="105" w:type="dxa"/>
            </w:tcMar>
          </w:tcPr>
          <w:p w14:paraId="775EE9B5" w14:textId="6E7B4964" w:rsidR="46BFD00F" w:rsidRDefault="46BFD00F" w:rsidP="46BFD00F">
            <w:pPr>
              <w:spacing w:line="276" w:lineRule="auto"/>
              <w:rPr>
                <w:rFonts w:eastAsiaTheme="minorEastAsia"/>
                <w:sz w:val="22"/>
                <w:szCs w:val="22"/>
              </w:rPr>
            </w:pPr>
            <w:r w:rsidRPr="46BFD00F">
              <w:rPr>
                <w:rFonts w:eastAsiaTheme="minorEastAsia"/>
                <w:sz w:val="22"/>
                <w:szCs w:val="22"/>
              </w:rPr>
              <w:t>Affective/Psychomotor Gains</w:t>
            </w:r>
          </w:p>
        </w:tc>
        <w:tc>
          <w:tcPr>
            <w:tcW w:w="2160" w:type="dxa"/>
            <w:tcMar>
              <w:left w:w="105" w:type="dxa"/>
              <w:right w:w="105" w:type="dxa"/>
            </w:tcMar>
          </w:tcPr>
          <w:p w14:paraId="44EC1003" w14:textId="50E912FA" w:rsidR="46BFD00F" w:rsidRDefault="46BFD00F" w:rsidP="46BFD00F">
            <w:pPr>
              <w:spacing w:line="276" w:lineRule="auto"/>
              <w:rPr>
                <w:rFonts w:eastAsiaTheme="minorEastAsia"/>
                <w:sz w:val="22"/>
                <w:szCs w:val="22"/>
              </w:rPr>
            </w:pPr>
            <w:r w:rsidRPr="46BFD00F">
              <w:rPr>
                <w:rFonts w:eastAsiaTheme="minorEastAsia"/>
                <w:sz w:val="22"/>
                <w:szCs w:val="22"/>
              </w:rPr>
              <w:t>Mostly cognitive</w:t>
            </w:r>
          </w:p>
        </w:tc>
        <w:tc>
          <w:tcPr>
            <w:tcW w:w="2145" w:type="dxa"/>
            <w:tcMar>
              <w:left w:w="105" w:type="dxa"/>
              <w:right w:w="105" w:type="dxa"/>
            </w:tcMar>
          </w:tcPr>
          <w:p w14:paraId="5F7166E0" w14:textId="13DB4107" w:rsidR="46BFD00F" w:rsidRDefault="46BFD00F" w:rsidP="46BFD00F">
            <w:pPr>
              <w:spacing w:line="276" w:lineRule="auto"/>
              <w:rPr>
                <w:rFonts w:eastAsiaTheme="minorEastAsia"/>
                <w:sz w:val="22"/>
                <w:szCs w:val="22"/>
              </w:rPr>
            </w:pPr>
            <w:r w:rsidRPr="46BFD00F">
              <w:rPr>
                <w:rFonts w:eastAsiaTheme="minorEastAsia"/>
                <w:sz w:val="22"/>
                <w:szCs w:val="22"/>
                <w:lang w:val="en-GB"/>
              </w:rPr>
              <w:t>Moderate psychomotor or emotional engagement</w:t>
            </w:r>
          </w:p>
        </w:tc>
        <w:tc>
          <w:tcPr>
            <w:tcW w:w="2835" w:type="dxa"/>
            <w:tcMar>
              <w:left w:w="105" w:type="dxa"/>
              <w:right w:w="105" w:type="dxa"/>
            </w:tcMar>
          </w:tcPr>
          <w:p w14:paraId="6DD63C2F" w14:textId="738C1329" w:rsidR="46BFD00F" w:rsidRDefault="46BFD00F" w:rsidP="46BFD00F">
            <w:pPr>
              <w:spacing w:line="276" w:lineRule="auto"/>
              <w:rPr>
                <w:rFonts w:eastAsiaTheme="minorEastAsia"/>
                <w:sz w:val="22"/>
                <w:szCs w:val="22"/>
              </w:rPr>
            </w:pPr>
            <w:r w:rsidRPr="46BFD00F">
              <w:rPr>
                <w:rFonts w:eastAsiaTheme="minorEastAsia"/>
                <w:sz w:val="22"/>
                <w:szCs w:val="22"/>
                <w:lang w:val="en-GB"/>
              </w:rPr>
              <w:t>Strong psychomotor or affective skills needed</w:t>
            </w:r>
          </w:p>
        </w:tc>
      </w:tr>
      <w:tr w:rsidR="46BFD00F" w14:paraId="0FA8BB5A" w14:textId="77777777" w:rsidTr="46BFD00F">
        <w:trPr>
          <w:trHeight w:val="300"/>
        </w:trPr>
        <w:tc>
          <w:tcPr>
            <w:tcW w:w="2460" w:type="dxa"/>
            <w:tcMar>
              <w:left w:w="105" w:type="dxa"/>
              <w:right w:w="105" w:type="dxa"/>
            </w:tcMar>
          </w:tcPr>
          <w:p w14:paraId="12E1AAFA" w14:textId="016A2C9D" w:rsidR="46BFD00F" w:rsidRDefault="46BFD00F" w:rsidP="46BFD00F">
            <w:pPr>
              <w:spacing w:line="276" w:lineRule="auto"/>
              <w:rPr>
                <w:rFonts w:eastAsiaTheme="minorEastAsia"/>
                <w:sz w:val="22"/>
                <w:szCs w:val="22"/>
              </w:rPr>
            </w:pPr>
            <w:r w:rsidRPr="46BFD00F">
              <w:rPr>
                <w:rFonts w:eastAsiaTheme="minorEastAsia"/>
                <w:sz w:val="22"/>
                <w:szCs w:val="22"/>
              </w:rPr>
              <w:t>Non-VR Alternatives</w:t>
            </w:r>
          </w:p>
        </w:tc>
        <w:tc>
          <w:tcPr>
            <w:tcW w:w="2160" w:type="dxa"/>
            <w:tcMar>
              <w:left w:w="105" w:type="dxa"/>
              <w:right w:w="105" w:type="dxa"/>
            </w:tcMar>
          </w:tcPr>
          <w:p w14:paraId="134D828E" w14:textId="0B36C07B" w:rsidR="46BFD00F" w:rsidRDefault="46BFD00F" w:rsidP="46BFD00F">
            <w:pPr>
              <w:spacing w:line="276" w:lineRule="auto"/>
              <w:rPr>
                <w:rFonts w:eastAsiaTheme="minorEastAsia"/>
                <w:sz w:val="22"/>
                <w:szCs w:val="22"/>
              </w:rPr>
            </w:pPr>
            <w:r w:rsidRPr="46BFD00F">
              <w:rPr>
                <w:rFonts w:eastAsiaTheme="minorEastAsia"/>
                <w:sz w:val="22"/>
                <w:szCs w:val="22"/>
              </w:rPr>
              <w:t>Existing solutions are optimal</w:t>
            </w:r>
          </w:p>
        </w:tc>
        <w:tc>
          <w:tcPr>
            <w:tcW w:w="2145" w:type="dxa"/>
            <w:tcMar>
              <w:left w:w="105" w:type="dxa"/>
              <w:right w:w="105" w:type="dxa"/>
            </w:tcMar>
          </w:tcPr>
          <w:p w14:paraId="26B695B1" w14:textId="5F037839" w:rsidR="46BFD00F" w:rsidRDefault="46BFD00F" w:rsidP="46BFD00F">
            <w:pPr>
              <w:spacing w:line="276" w:lineRule="auto"/>
              <w:rPr>
                <w:rFonts w:eastAsiaTheme="minorEastAsia"/>
                <w:sz w:val="22"/>
                <w:szCs w:val="22"/>
              </w:rPr>
            </w:pPr>
            <w:r w:rsidRPr="46BFD00F">
              <w:rPr>
                <w:rFonts w:eastAsiaTheme="minorEastAsia"/>
                <w:sz w:val="22"/>
                <w:szCs w:val="22"/>
              </w:rPr>
              <w:t>Existing methods are adequate</w:t>
            </w:r>
          </w:p>
        </w:tc>
        <w:tc>
          <w:tcPr>
            <w:tcW w:w="2835" w:type="dxa"/>
            <w:tcMar>
              <w:left w:w="105" w:type="dxa"/>
              <w:right w:w="105" w:type="dxa"/>
            </w:tcMar>
          </w:tcPr>
          <w:p w14:paraId="60CD83E3" w14:textId="3345456E" w:rsidR="46BFD00F" w:rsidRDefault="46BFD00F" w:rsidP="46BFD00F">
            <w:pPr>
              <w:spacing w:line="276" w:lineRule="auto"/>
              <w:rPr>
                <w:rFonts w:eastAsiaTheme="minorEastAsia"/>
                <w:sz w:val="22"/>
                <w:szCs w:val="22"/>
              </w:rPr>
            </w:pPr>
            <w:r w:rsidRPr="46BFD00F">
              <w:rPr>
                <w:rFonts w:eastAsiaTheme="minorEastAsia"/>
                <w:sz w:val="22"/>
                <w:szCs w:val="22"/>
              </w:rPr>
              <w:t>No adequate alternative exists</w:t>
            </w:r>
          </w:p>
        </w:tc>
      </w:tr>
    </w:tbl>
    <w:p w14:paraId="30B65C4F" w14:textId="24CA835F" w:rsidR="46BFD00F" w:rsidRDefault="46BFD00F" w:rsidP="46BFD00F">
      <w:pPr>
        <w:spacing w:after="0" w:line="360" w:lineRule="auto"/>
        <w:rPr>
          <w:rFonts w:eastAsiaTheme="minorEastAsia"/>
          <w:sz w:val="22"/>
          <w:szCs w:val="22"/>
        </w:rPr>
      </w:pPr>
    </w:p>
    <w:p w14:paraId="738FC272" w14:textId="248A56DC" w:rsidR="755A0964" w:rsidRDefault="755A0964" w:rsidP="46BFD00F">
      <w:pPr>
        <w:rPr>
          <w:rFonts w:eastAsiaTheme="minorEastAsia"/>
          <w:sz w:val="22"/>
          <w:szCs w:val="22"/>
        </w:rPr>
      </w:pPr>
      <w:r w:rsidRPr="46BFD00F">
        <w:rPr>
          <w:rFonts w:eastAsiaTheme="minorEastAsia"/>
          <w:sz w:val="22"/>
          <w:szCs w:val="22"/>
          <w:lang w:val="en-GB"/>
        </w:rPr>
        <w:t>Scoring</w:t>
      </w:r>
    </w:p>
    <w:p w14:paraId="60E33448" w14:textId="6C863788" w:rsidR="755A0964" w:rsidRDefault="755A0964" w:rsidP="46BFD00F">
      <w:pPr>
        <w:pStyle w:val="Akapitzlist"/>
        <w:numPr>
          <w:ilvl w:val="0"/>
          <w:numId w:val="1"/>
        </w:numPr>
        <w:spacing w:after="0"/>
        <w:rPr>
          <w:rFonts w:eastAsiaTheme="minorEastAsia"/>
          <w:sz w:val="22"/>
          <w:szCs w:val="22"/>
        </w:rPr>
      </w:pPr>
      <w:r w:rsidRPr="46BFD00F">
        <w:rPr>
          <w:rFonts w:eastAsiaTheme="minorEastAsia"/>
          <w:sz w:val="22"/>
          <w:szCs w:val="22"/>
          <w:lang w:val="en-GB"/>
        </w:rPr>
        <w:t>Score 6–10 → ❌ Not yet</w:t>
      </w:r>
    </w:p>
    <w:p w14:paraId="4FAC196B" w14:textId="18C9D3A5" w:rsidR="755A0964" w:rsidRDefault="755A0964" w:rsidP="46BFD00F">
      <w:pPr>
        <w:spacing w:after="0"/>
        <w:rPr>
          <w:rFonts w:eastAsiaTheme="minorEastAsia"/>
          <w:sz w:val="22"/>
          <w:szCs w:val="22"/>
        </w:rPr>
      </w:pPr>
      <w:r w:rsidRPr="46BFD00F">
        <w:rPr>
          <w:rFonts w:eastAsiaTheme="minorEastAsia"/>
          <w:sz w:val="22"/>
          <w:szCs w:val="22"/>
          <w:lang w:val="en-GB"/>
        </w:rPr>
        <w:t>→ Traditional or blended approaches are likely more effective/cost-efficient.</w:t>
      </w:r>
    </w:p>
    <w:p w14:paraId="4CEE19CF" w14:textId="7BB6DE60" w:rsidR="755A0964" w:rsidRDefault="755A0964" w:rsidP="46BFD00F">
      <w:pPr>
        <w:pStyle w:val="Akapitzlist"/>
        <w:numPr>
          <w:ilvl w:val="0"/>
          <w:numId w:val="1"/>
        </w:numPr>
        <w:spacing w:after="0"/>
        <w:rPr>
          <w:rFonts w:eastAsiaTheme="minorEastAsia"/>
          <w:sz w:val="22"/>
          <w:szCs w:val="22"/>
        </w:rPr>
      </w:pPr>
      <w:r w:rsidRPr="46BFD00F">
        <w:rPr>
          <w:rFonts w:eastAsiaTheme="minorEastAsia"/>
          <w:sz w:val="22"/>
          <w:szCs w:val="22"/>
          <w:lang w:val="en-GB"/>
        </w:rPr>
        <w:t>Score 10–14 → ⚠️ Pilot first</w:t>
      </w:r>
    </w:p>
    <w:p w14:paraId="7634CB29" w14:textId="531B4AD7" w:rsidR="755A0964" w:rsidRDefault="755A0964" w:rsidP="46BFD00F">
      <w:pPr>
        <w:spacing w:after="0"/>
        <w:rPr>
          <w:rFonts w:eastAsiaTheme="minorEastAsia"/>
          <w:sz w:val="22"/>
          <w:szCs w:val="22"/>
        </w:rPr>
      </w:pPr>
      <w:r w:rsidRPr="46BFD00F">
        <w:rPr>
          <w:rFonts w:eastAsiaTheme="minorEastAsia"/>
          <w:sz w:val="22"/>
          <w:szCs w:val="22"/>
          <w:lang w:val="en-GB"/>
        </w:rPr>
        <w:t>→ Consider prototyping in VR to test feasibility, impact, and learner feedback.</w:t>
      </w:r>
    </w:p>
    <w:p w14:paraId="209D288C" w14:textId="7DD56842" w:rsidR="755A0964" w:rsidRDefault="755A0964" w:rsidP="46BFD00F">
      <w:pPr>
        <w:pStyle w:val="Akapitzlist"/>
        <w:numPr>
          <w:ilvl w:val="0"/>
          <w:numId w:val="1"/>
        </w:numPr>
        <w:spacing w:after="0"/>
        <w:rPr>
          <w:rFonts w:eastAsiaTheme="minorEastAsia"/>
          <w:sz w:val="22"/>
          <w:szCs w:val="22"/>
        </w:rPr>
      </w:pPr>
      <w:r w:rsidRPr="46BFD00F">
        <w:rPr>
          <w:rFonts w:eastAsiaTheme="minorEastAsia"/>
          <w:sz w:val="22"/>
          <w:szCs w:val="22"/>
          <w:lang w:val="en-GB"/>
        </w:rPr>
        <w:t>Score 14–18 → ✅ Go</w:t>
      </w:r>
    </w:p>
    <w:p w14:paraId="7D54CAFF" w14:textId="0CC20782" w:rsidR="755A0964" w:rsidRDefault="755A0964" w:rsidP="46BFD00F">
      <w:pPr>
        <w:rPr>
          <w:rFonts w:eastAsiaTheme="minorEastAsia"/>
          <w:sz w:val="22"/>
          <w:szCs w:val="22"/>
          <w:lang w:val="en-GB"/>
        </w:rPr>
      </w:pPr>
      <w:r w:rsidRPr="46BFD00F">
        <w:rPr>
          <w:rFonts w:eastAsiaTheme="minorEastAsia"/>
          <w:sz w:val="22"/>
          <w:szCs w:val="22"/>
          <w:lang w:val="en-GB"/>
        </w:rPr>
        <w:t>→ Strong case for full VR integration—proceed with detailed design and development.</w:t>
      </w:r>
    </w:p>
    <w:p w14:paraId="1996FBF9" w14:textId="7907117A" w:rsidR="00F116D2" w:rsidRDefault="00F116D2" w:rsidP="46BFD00F">
      <w:pPr>
        <w:rPr>
          <w:sz w:val="22"/>
          <w:szCs w:val="22"/>
        </w:rPr>
      </w:pPr>
    </w:p>
    <w:sectPr w:rsidR="00F116D2" w:rsidSect="002F3F35">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22BD5" w14:textId="77777777" w:rsidR="001F0ED7" w:rsidRDefault="001F0ED7" w:rsidP="007A06C1">
      <w:pPr>
        <w:spacing w:after="0" w:line="240" w:lineRule="auto"/>
      </w:pPr>
      <w:r>
        <w:separator/>
      </w:r>
    </w:p>
  </w:endnote>
  <w:endnote w:type="continuationSeparator" w:id="0">
    <w:p w14:paraId="5EC89768" w14:textId="77777777" w:rsidR="001F0ED7" w:rsidRDefault="001F0ED7" w:rsidP="007A0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A9C90" w14:textId="77777777" w:rsidR="001D6D73" w:rsidRDefault="001D6D7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781E9" w14:textId="0F3EF5DF" w:rsidR="007A06C1" w:rsidRDefault="007A06C1" w:rsidP="00B83404">
    <w:pPr>
      <w:pStyle w:val="Stopka"/>
      <w:ind w:left="2124"/>
      <w:rPr>
        <w:sz w:val="16"/>
        <w:szCs w:val="16"/>
      </w:rPr>
    </w:pPr>
    <w:r w:rsidRPr="007A06C1">
      <w:rPr>
        <w:noProof/>
        <w:sz w:val="16"/>
        <w:szCs w:val="16"/>
      </w:rPr>
      <w:drawing>
        <wp:anchor distT="0" distB="0" distL="114300" distR="114300" simplePos="0" relativeHeight="251664384" behindDoc="0" locked="0" layoutInCell="1" allowOverlap="1" wp14:anchorId="159ED8F1" wp14:editId="130FD65B">
          <wp:simplePos x="0" y="0"/>
          <wp:positionH relativeFrom="column">
            <wp:posOffset>-466090</wp:posOffset>
          </wp:positionH>
          <wp:positionV relativeFrom="paragraph">
            <wp:posOffset>28761</wp:posOffset>
          </wp:positionV>
          <wp:extent cx="1669396" cy="371707"/>
          <wp:effectExtent l="0" t="0" r="0" b="0"/>
          <wp:wrapNone/>
          <wp:docPr id="1864618373" name="Immagine 14" descr="Immagine che contiene schermata, Carattere, Blu elettrico, Blu intens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18373" name="Immagine 14" descr="Immagine che contiene schermata, Carattere, Blu elettrico, Blu intens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669396" cy="371707"/>
                  </a:xfrm>
                  <a:prstGeom prst="rect">
                    <a:avLst/>
                  </a:prstGeom>
                </pic:spPr>
              </pic:pic>
            </a:graphicData>
          </a:graphic>
          <wp14:sizeRelH relativeFrom="page">
            <wp14:pctWidth>0</wp14:pctWidth>
          </wp14:sizeRelH>
          <wp14:sizeRelV relativeFrom="page">
            <wp14:pctHeight>0</wp14:pctHeight>
          </wp14:sizeRelV>
        </wp:anchor>
      </w:drawing>
    </w:r>
    <w:r w:rsidRPr="007A06C1">
      <w:rPr>
        <w:sz w:val="16"/>
        <w:szCs w:val="16"/>
      </w:rPr>
      <w:t>Views and opinions expressed are however those of the author or authors only and do not necessarily reflect those of the European Union or the Foundation for the Development of the Education System. Neither the European Union nor the entity providing the grant can be held responsible for them.</w:t>
    </w:r>
  </w:p>
  <w:p w14:paraId="1F6D04E0" w14:textId="18C9DB04" w:rsidR="00B83404" w:rsidRDefault="00B83404" w:rsidP="00B83404">
    <w:pPr>
      <w:pStyle w:val="Stopka"/>
      <w:ind w:left="1416"/>
      <w:rPr>
        <w:sz w:val="16"/>
        <w:szCs w:val="16"/>
      </w:rPr>
    </w:pPr>
  </w:p>
  <w:p w14:paraId="0074B448" w14:textId="49899671" w:rsidR="00B83404" w:rsidRDefault="00B83404" w:rsidP="00B83404">
    <w:pPr>
      <w:pStyle w:val="Stopka"/>
      <w:ind w:left="1416"/>
      <w:rPr>
        <w:sz w:val="16"/>
        <w:szCs w:val="16"/>
      </w:rPr>
    </w:pPr>
  </w:p>
  <w:p w14:paraId="3F481AF5" w14:textId="1F13E4A1" w:rsidR="00B83404" w:rsidRPr="00B83404" w:rsidRDefault="00B83404" w:rsidP="001B6E0F">
    <w:pPr>
      <w:pStyle w:val="Stopka"/>
      <w:ind w:left="2832"/>
      <w:rPr>
        <w:sz w:val="16"/>
        <w:szCs w:val="16"/>
      </w:rPr>
    </w:pPr>
    <w:r w:rsidRPr="00B83404">
      <w:rPr>
        <w:i/>
        <w:iCs/>
        <w:sz w:val="16"/>
        <w:szCs w:val="16"/>
      </w:rPr>
      <w:t xml:space="preserve">© 2025. This work is openly licensed via </w:t>
    </w:r>
    <w:hyperlink r:id="rId2" w:tgtFrame="_blank" w:tooltip="https://creativecommons.org/licenses/by/4.0/" w:history="1">
      <w:r w:rsidRPr="00B83404">
        <w:rPr>
          <w:rStyle w:val="Hipercze"/>
          <w:i/>
          <w:iCs/>
          <w:sz w:val="16"/>
          <w:szCs w:val="16"/>
        </w:rPr>
        <w:t>CC BY 4.0</w:t>
      </w:r>
    </w:hyperlink>
    <w:r w:rsidRPr="00B83404">
      <w:rPr>
        <w:i/>
        <w:iCs/>
        <w:sz w:val="16"/>
        <w:szCs w:val="16"/>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43237" w14:textId="77777777" w:rsidR="001D6D73" w:rsidRDefault="001D6D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1022E" w14:textId="77777777" w:rsidR="001F0ED7" w:rsidRDefault="001F0ED7" w:rsidP="007A06C1">
      <w:pPr>
        <w:spacing w:after="0" w:line="240" w:lineRule="auto"/>
      </w:pPr>
      <w:r>
        <w:separator/>
      </w:r>
    </w:p>
  </w:footnote>
  <w:footnote w:type="continuationSeparator" w:id="0">
    <w:p w14:paraId="2D73AF47" w14:textId="77777777" w:rsidR="001F0ED7" w:rsidRDefault="001F0ED7" w:rsidP="007A0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7FE1A" w14:textId="77777777" w:rsidR="001D6D73" w:rsidRDefault="001D6D7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43EAE" w14:textId="5A40EF3B" w:rsidR="007A06C1" w:rsidRDefault="002F3F35">
    <w:pPr>
      <w:pStyle w:val="Nagwek"/>
    </w:pPr>
    <w:r>
      <w:rPr>
        <w:noProof/>
      </w:rPr>
      <w:drawing>
        <wp:anchor distT="0" distB="0" distL="114300" distR="114300" simplePos="0" relativeHeight="251661312" behindDoc="0" locked="0" layoutInCell="1" allowOverlap="1" wp14:anchorId="1277F2EE" wp14:editId="72510E40">
          <wp:simplePos x="0" y="0"/>
          <wp:positionH relativeFrom="column">
            <wp:posOffset>3490316</wp:posOffset>
          </wp:positionH>
          <wp:positionV relativeFrom="paragraph">
            <wp:posOffset>-10795</wp:posOffset>
          </wp:positionV>
          <wp:extent cx="325120" cy="431800"/>
          <wp:effectExtent l="0" t="0" r="0" b="6350"/>
          <wp:wrapNone/>
          <wp:docPr id="973417699" name="Immagine 11" descr="Immagine che contiene logo, Carattere, test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417699" name="Immagine 11" descr="Immagine che contiene logo, Carattere, testo, simbol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325120" cy="431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27DC9E7B" wp14:editId="0CABB750">
          <wp:simplePos x="0" y="0"/>
          <wp:positionH relativeFrom="column">
            <wp:posOffset>4837430</wp:posOffset>
          </wp:positionH>
          <wp:positionV relativeFrom="paragraph">
            <wp:posOffset>1270</wp:posOffset>
          </wp:positionV>
          <wp:extent cx="1249680" cy="431800"/>
          <wp:effectExtent l="0" t="0" r="7620" b="6350"/>
          <wp:wrapNone/>
          <wp:docPr id="488254603" name="Obraz 4" descr="Obraz zawierający Czcionka, Grafika, projekt graficzny, symbol&#10;&#10;Zawartość wygenerowana przez AI może być niepoprawna.">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54603" name="Obraz 4" descr="Obraz zawierający Czcionka, Grafika, projekt graficzny, symbol&#10;&#10;Zawartość wygenerowana przez AI może być niepoprawna.">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4968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55F18126" wp14:editId="4CE3329B">
          <wp:simplePos x="0" y="0"/>
          <wp:positionH relativeFrom="column">
            <wp:posOffset>2887427</wp:posOffset>
          </wp:positionH>
          <wp:positionV relativeFrom="paragraph">
            <wp:posOffset>-9525</wp:posOffset>
          </wp:positionV>
          <wp:extent cx="481965" cy="431800"/>
          <wp:effectExtent l="0" t="0" r="0" b="6350"/>
          <wp:wrapNone/>
          <wp:docPr id="87107887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1965"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F205164" wp14:editId="544A5266">
          <wp:simplePos x="0" y="0"/>
          <wp:positionH relativeFrom="column">
            <wp:posOffset>657143</wp:posOffset>
          </wp:positionH>
          <wp:positionV relativeFrom="paragraph">
            <wp:posOffset>0</wp:posOffset>
          </wp:positionV>
          <wp:extent cx="827405" cy="431800"/>
          <wp:effectExtent l="0" t="0" r="0" b="6350"/>
          <wp:wrapNone/>
          <wp:docPr id="239243233" name="Immagine 9" descr="Immagine che contiene testo, Elementi grafici, Carattere,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43233" name="Immagine 9" descr="Immagine che contiene testo, Elementi grafici, Carattere, logo&#10;&#10;Il contenuto generato dall'IA potrebbe non essere corretto."/>
                  <pic:cNvPicPr/>
                </pic:nvPicPr>
                <pic:blipFill>
                  <a:blip r:embed="rId5">
                    <a:extLst>
                      <a:ext uri="{28A0092B-C50C-407E-A947-70E740481C1C}">
                        <a14:useLocalDpi xmlns:a14="http://schemas.microsoft.com/office/drawing/2010/main" val="0"/>
                      </a:ext>
                    </a:extLst>
                  </a:blip>
                  <a:stretch>
                    <a:fillRect/>
                  </a:stretch>
                </pic:blipFill>
                <pic:spPr>
                  <a:xfrm>
                    <a:off x="0" y="0"/>
                    <a:ext cx="827405" cy="431800"/>
                  </a:xfrm>
                  <a:prstGeom prst="rect">
                    <a:avLst/>
                  </a:prstGeom>
                </pic:spPr>
              </pic:pic>
            </a:graphicData>
          </a:graphic>
          <wp14:sizeRelH relativeFrom="page">
            <wp14:pctWidth>0</wp14:pctWidth>
          </wp14:sizeRelH>
          <wp14:sizeRelV relativeFrom="page">
            <wp14:pctHeight>0</wp14:pctHeight>
          </wp14:sizeRelV>
        </wp:anchor>
      </w:drawing>
    </w:r>
    <w:r w:rsidR="008A1C3B">
      <w:rPr>
        <w:noProof/>
      </w:rPr>
      <w:drawing>
        <wp:anchor distT="0" distB="0" distL="114300" distR="114300" simplePos="0" relativeHeight="251665408" behindDoc="0" locked="0" layoutInCell="1" allowOverlap="1" wp14:anchorId="15C11E8A" wp14:editId="637C98F5">
          <wp:simplePos x="0" y="0"/>
          <wp:positionH relativeFrom="column">
            <wp:posOffset>1577038</wp:posOffset>
          </wp:positionH>
          <wp:positionV relativeFrom="paragraph">
            <wp:posOffset>-660</wp:posOffset>
          </wp:positionV>
          <wp:extent cx="1229159" cy="432000"/>
          <wp:effectExtent l="0" t="0" r="0" b="6350"/>
          <wp:wrapNone/>
          <wp:docPr id="13483226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9159" cy="43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A1C3B">
      <w:rPr>
        <w:noProof/>
      </w:rPr>
      <w:drawing>
        <wp:anchor distT="0" distB="0" distL="114300" distR="114300" simplePos="0" relativeHeight="251668480" behindDoc="0" locked="0" layoutInCell="1" allowOverlap="1" wp14:anchorId="11BD8A48" wp14:editId="7FBFF337">
          <wp:simplePos x="0" y="0"/>
          <wp:positionH relativeFrom="column">
            <wp:posOffset>-1905</wp:posOffset>
          </wp:positionH>
          <wp:positionV relativeFrom="paragraph">
            <wp:posOffset>1270</wp:posOffset>
          </wp:positionV>
          <wp:extent cx="570865" cy="431800"/>
          <wp:effectExtent l="0" t="0" r="635" b="6350"/>
          <wp:wrapNone/>
          <wp:docPr id="27212549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865" cy="431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03182" w14:textId="77777777" w:rsidR="001D6D73" w:rsidRDefault="001D6D7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664F6"/>
    <w:multiLevelType w:val="hybridMultilevel"/>
    <w:tmpl w:val="86B0889A"/>
    <w:lvl w:ilvl="0" w:tplc="E424BDE4">
      <w:start w:val="1"/>
      <w:numFmt w:val="bullet"/>
      <w:lvlText w:val="-"/>
      <w:lvlJc w:val="left"/>
      <w:pPr>
        <w:ind w:left="720" w:hanging="360"/>
      </w:pPr>
      <w:rPr>
        <w:rFonts w:ascii="Aptos" w:hAnsi="Aptos" w:hint="default"/>
      </w:rPr>
    </w:lvl>
    <w:lvl w:ilvl="1" w:tplc="4440A984">
      <w:start w:val="1"/>
      <w:numFmt w:val="bullet"/>
      <w:lvlText w:val="o"/>
      <w:lvlJc w:val="left"/>
      <w:pPr>
        <w:ind w:left="1440" w:hanging="360"/>
      </w:pPr>
      <w:rPr>
        <w:rFonts w:ascii="Courier New" w:hAnsi="Courier New" w:hint="default"/>
      </w:rPr>
    </w:lvl>
    <w:lvl w:ilvl="2" w:tplc="E1F4F9F8">
      <w:start w:val="1"/>
      <w:numFmt w:val="bullet"/>
      <w:lvlText w:val=""/>
      <w:lvlJc w:val="left"/>
      <w:pPr>
        <w:ind w:left="2160" w:hanging="360"/>
      </w:pPr>
      <w:rPr>
        <w:rFonts w:ascii="Wingdings" w:hAnsi="Wingdings" w:hint="default"/>
      </w:rPr>
    </w:lvl>
    <w:lvl w:ilvl="3" w:tplc="63FC2D26">
      <w:start w:val="1"/>
      <w:numFmt w:val="bullet"/>
      <w:lvlText w:val=""/>
      <w:lvlJc w:val="left"/>
      <w:pPr>
        <w:ind w:left="2880" w:hanging="360"/>
      </w:pPr>
      <w:rPr>
        <w:rFonts w:ascii="Symbol" w:hAnsi="Symbol" w:hint="default"/>
      </w:rPr>
    </w:lvl>
    <w:lvl w:ilvl="4" w:tplc="52FE3E44">
      <w:start w:val="1"/>
      <w:numFmt w:val="bullet"/>
      <w:lvlText w:val="o"/>
      <w:lvlJc w:val="left"/>
      <w:pPr>
        <w:ind w:left="3600" w:hanging="360"/>
      </w:pPr>
      <w:rPr>
        <w:rFonts w:ascii="Courier New" w:hAnsi="Courier New" w:hint="default"/>
      </w:rPr>
    </w:lvl>
    <w:lvl w:ilvl="5" w:tplc="3B8A80E4">
      <w:start w:val="1"/>
      <w:numFmt w:val="bullet"/>
      <w:lvlText w:val=""/>
      <w:lvlJc w:val="left"/>
      <w:pPr>
        <w:ind w:left="4320" w:hanging="360"/>
      </w:pPr>
      <w:rPr>
        <w:rFonts w:ascii="Wingdings" w:hAnsi="Wingdings" w:hint="default"/>
      </w:rPr>
    </w:lvl>
    <w:lvl w:ilvl="6" w:tplc="24702FC2">
      <w:start w:val="1"/>
      <w:numFmt w:val="bullet"/>
      <w:lvlText w:val=""/>
      <w:lvlJc w:val="left"/>
      <w:pPr>
        <w:ind w:left="5040" w:hanging="360"/>
      </w:pPr>
      <w:rPr>
        <w:rFonts w:ascii="Symbol" w:hAnsi="Symbol" w:hint="default"/>
      </w:rPr>
    </w:lvl>
    <w:lvl w:ilvl="7" w:tplc="6F92B0E6">
      <w:start w:val="1"/>
      <w:numFmt w:val="bullet"/>
      <w:lvlText w:val="o"/>
      <w:lvlJc w:val="left"/>
      <w:pPr>
        <w:ind w:left="5760" w:hanging="360"/>
      </w:pPr>
      <w:rPr>
        <w:rFonts w:ascii="Courier New" w:hAnsi="Courier New" w:hint="default"/>
      </w:rPr>
    </w:lvl>
    <w:lvl w:ilvl="8" w:tplc="16681AF6">
      <w:start w:val="1"/>
      <w:numFmt w:val="bullet"/>
      <w:lvlText w:val=""/>
      <w:lvlJc w:val="left"/>
      <w:pPr>
        <w:ind w:left="6480" w:hanging="360"/>
      </w:pPr>
      <w:rPr>
        <w:rFonts w:ascii="Wingdings" w:hAnsi="Wingdings" w:hint="default"/>
      </w:rPr>
    </w:lvl>
  </w:abstractNum>
  <w:abstractNum w:abstractNumId="1" w15:restartNumberingAfterBreak="0">
    <w:nsid w:val="3D2C73FB"/>
    <w:multiLevelType w:val="hybridMultilevel"/>
    <w:tmpl w:val="AC664D66"/>
    <w:lvl w:ilvl="0" w:tplc="A8F2B8AE">
      <w:start w:val="1"/>
      <w:numFmt w:val="bullet"/>
      <w:lvlText w:val=""/>
      <w:lvlJc w:val="left"/>
      <w:pPr>
        <w:ind w:left="720" w:hanging="360"/>
      </w:pPr>
      <w:rPr>
        <w:rFonts w:ascii="Symbol" w:hAnsi="Symbol" w:hint="default"/>
      </w:rPr>
    </w:lvl>
    <w:lvl w:ilvl="1" w:tplc="67B039D8">
      <w:start w:val="1"/>
      <w:numFmt w:val="bullet"/>
      <w:lvlText w:val="o"/>
      <w:lvlJc w:val="left"/>
      <w:pPr>
        <w:ind w:left="1440" w:hanging="360"/>
      </w:pPr>
      <w:rPr>
        <w:rFonts w:ascii="Courier New" w:hAnsi="Courier New" w:hint="default"/>
      </w:rPr>
    </w:lvl>
    <w:lvl w:ilvl="2" w:tplc="7ED2BD7E">
      <w:start w:val="1"/>
      <w:numFmt w:val="bullet"/>
      <w:lvlText w:val=""/>
      <w:lvlJc w:val="left"/>
      <w:pPr>
        <w:ind w:left="2160" w:hanging="360"/>
      </w:pPr>
      <w:rPr>
        <w:rFonts w:ascii="Wingdings" w:hAnsi="Wingdings" w:hint="default"/>
      </w:rPr>
    </w:lvl>
    <w:lvl w:ilvl="3" w:tplc="30D267C2">
      <w:start w:val="1"/>
      <w:numFmt w:val="bullet"/>
      <w:lvlText w:val=""/>
      <w:lvlJc w:val="left"/>
      <w:pPr>
        <w:ind w:left="2880" w:hanging="360"/>
      </w:pPr>
      <w:rPr>
        <w:rFonts w:ascii="Symbol" w:hAnsi="Symbol" w:hint="default"/>
      </w:rPr>
    </w:lvl>
    <w:lvl w:ilvl="4" w:tplc="F0FC8298">
      <w:start w:val="1"/>
      <w:numFmt w:val="bullet"/>
      <w:lvlText w:val="o"/>
      <w:lvlJc w:val="left"/>
      <w:pPr>
        <w:ind w:left="3600" w:hanging="360"/>
      </w:pPr>
      <w:rPr>
        <w:rFonts w:ascii="Courier New" w:hAnsi="Courier New" w:hint="default"/>
      </w:rPr>
    </w:lvl>
    <w:lvl w:ilvl="5" w:tplc="6A3E29D2">
      <w:start w:val="1"/>
      <w:numFmt w:val="bullet"/>
      <w:lvlText w:val=""/>
      <w:lvlJc w:val="left"/>
      <w:pPr>
        <w:ind w:left="4320" w:hanging="360"/>
      </w:pPr>
      <w:rPr>
        <w:rFonts w:ascii="Wingdings" w:hAnsi="Wingdings" w:hint="default"/>
      </w:rPr>
    </w:lvl>
    <w:lvl w:ilvl="6" w:tplc="C8982976">
      <w:start w:val="1"/>
      <w:numFmt w:val="bullet"/>
      <w:lvlText w:val=""/>
      <w:lvlJc w:val="left"/>
      <w:pPr>
        <w:ind w:left="5040" w:hanging="360"/>
      </w:pPr>
      <w:rPr>
        <w:rFonts w:ascii="Symbol" w:hAnsi="Symbol" w:hint="default"/>
      </w:rPr>
    </w:lvl>
    <w:lvl w:ilvl="7" w:tplc="E5BE7036">
      <w:start w:val="1"/>
      <w:numFmt w:val="bullet"/>
      <w:lvlText w:val="o"/>
      <w:lvlJc w:val="left"/>
      <w:pPr>
        <w:ind w:left="5760" w:hanging="360"/>
      </w:pPr>
      <w:rPr>
        <w:rFonts w:ascii="Courier New" w:hAnsi="Courier New" w:hint="default"/>
      </w:rPr>
    </w:lvl>
    <w:lvl w:ilvl="8" w:tplc="473ADC9A">
      <w:start w:val="1"/>
      <w:numFmt w:val="bullet"/>
      <w:lvlText w:val=""/>
      <w:lvlJc w:val="left"/>
      <w:pPr>
        <w:ind w:left="6480" w:hanging="360"/>
      </w:pPr>
      <w:rPr>
        <w:rFonts w:ascii="Wingdings" w:hAnsi="Wingdings" w:hint="default"/>
      </w:rPr>
    </w:lvl>
  </w:abstractNum>
  <w:num w:numId="1" w16cid:durableId="348533103">
    <w:abstractNumId w:val="0"/>
  </w:num>
  <w:num w:numId="2" w16cid:durableId="742068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6C1"/>
    <w:rsid w:val="00027F2F"/>
    <w:rsid w:val="00155493"/>
    <w:rsid w:val="001B6E0F"/>
    <w:rsid w:val="001C67E9"/>
    <w:rsid w:val="001D6D73"/>
    <w:rsid w:val="001F0ED7"/>
    <w:rsid w:val="002B03C7"/>
    <w:rsid w:val="002F03CA"/>
    <w:rsid w:val="002F3F35"/>
    <w:rsid w:val="00305C6F"/>
    <w:rsid w:val="00306FFD"/>
    <w:rsid w:val="003C7A2A"/>
    <w:rsid w:val="0044546F"/>
    <w:rsid w:val="00694DBB"/>
    <w:rsid w:val="00734578"/>
    <w:rsid w:val="007A06C1"/>
    <w:rsid w:val="007A2F4A"/>
    <w:rsid w:val="007C75F7"/>
    <w:rsid w:val="007D0B49"/>
    <w:rsid w:val="00817421"/>
    <w:rsid w:val="0082143F"/>
    <w:rsid w:val="008A1C3B"/>
    <w:rsid w:val="00A40911"/>
    <w:rsid w:val="00B83404"/>
    <w:rsid w:val="00CC183C"/>
    <w:rsid w:val="00D3791A"/>
    <w:rsid w:val="00D6385C"/>
    <w:rsid w:val="00E4606B"/>
    <w:rsid w:val="00EE2069"/>
    <w:rsid w:val="00F116D2"/>
    <w:rsid w:val="16598E4A"/>
    <w:rsid w:val="270DAC37"/>
    <w:rsid w:val="46BFD00F"/>
    <w:rsid w:val="72810137"/>
    <w:rsid w:val="755A09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A598E"/>
  <w15:chartTrackingRefBased/>
  <w15:docId w15:val="{39B89EE2-1EC7-5443-9B61-DBDE5BFB6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A06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A06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A06C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A06C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A06C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A06C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A06C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A06C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A06C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A06C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A06C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A06C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A06C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A06C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A06C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A06C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A06C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A06C1"/>
    <w:rPr>
      <w:rFonts w:eastAsiaTheme="majorEastAsia" w:cstheme="majorBidi"/>
      <w:color w:val="272727" w:themeColor="text1" w:themeTint="D8"/>
    </w:rPr>
  </w:style>
  <w:style w:type="paragraph" w:styleId="Tytu">
    <w:name w:val="Title"/>
    <w:basedOn w:val="Normalny"/>
    <w:next w:val="Normalny"/>
    <w:link w:val="TytuZnak"/>
    <w:uiPriority w:val="10"/>
    <w:qFormat/>
    <w:rsid w:val="007A06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A06C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A06C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A06C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A06C1"/>
    <w:pPr>
      <w:spacing w:before="160"/>
      <w:jc w:val="center"/>
    </w:pPr>
    <w:rPr>
      <w:i/>
      <w:iCs/>
      <w:color w:val="404040" w:themeColor="text1" w:themeTint="BF"/>
    </w:rPr>
  </w:style>
  <w:style w:type="character" w:customStyle="1" w:styleId="CytatZnak">
    <w:name w:val="Cytat Znak"/>
    <w:basedOn w:val="Domylnaczcionkaakapitu"/>
    <w:link w:val="Cytat"/>
    <w:uiPriority w:val="29"/>
    <w:rsid w:val="007A06C1"/>
    <w:rPr>
      <w:i/>
      <w:iCs/>
      <w:color w:val="404040" w:themeColor="text1" w:themeTint="BF"/>
    </w:rPr>
  </w:style>
  <w:style w:type="paragraph" w:styleId="Akapitzlist">
    <w:name w:val="List Paragraph"/>
    <w:basedOn w:val="Normalny"/>
    <w:uiPriority w:val="34"/>
    <w:qFormat/>
    <w:rsid w:val="007A06C1"/>
    <w:pPr>
      <w:ind w:left="720"/>
      <w:contextualSpacing/>
    </w:pPr>
  </w:style>
  <w:style w:type="character" w:styleId="Wyrnienieintensywne">
    <w:name w:val="Intense Emphasis"/>
    <w:basedOn w:val="Domylnaczcionkaakapitu"/>
    <w:uiPriority w:val="21"/>
    <w:qFormat/>
    <w:rsid w:val="007A06C1"/>
    <w:rPr>
      <w:i/>
      <w:iCs/>
      <w:color w:val="0F4761" w:themeColor="accent1" w:themeShade="BF"/>
    </w:rPr>
  </w:style>
  <w:style w:type="paragraph" w:styleId="Cytatintensywny">
    <w:name w:val="Intense Quote"/>
    <w:basedOn w:val="Normalny"/>
    <w:next w:val="Normalny"/>
    <w:link w:val="CytatintensywnyZnak"/>
    <w:uiPriority w:val="30"/>
    <w:qFormat/>
    <w:rsid w:val="007A0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A06C1"/>
    <w:rPr>
      <w:i/>
      <w:iCs/>
      <w:color w:val="0F4761" w:themeColor="accent1" w:themeShade="BF"/>
    </w:rPr>
  </w:style>
  <w:style w:type="character" w:styleId="Odwoanieintensywne">
    <w:name w:val="Intense Reference"/>
    <w:basedOn w:val="Domylnaczcionkaakapitu"/>
    <w:uiPriority w:val="32"/>
    <w:qFormat/>
    <w:rsid w:val="007A06C1"/>
    <w:rPr>
      <w:b/>
      <w:bCs/>
      <w:smallCaps/>
      <w:color w:val="0F4761" w:themeColor="accent1" w:themeShade="BF"/>
      <w:spacing w:val="5"/>
    </w:rPr>
  </w:style>
  <w:style w:type="paragraph" w:styleId="Nagwek">
    <w:name w:val="header"/>
    <w:basedOn w:val="Normalny"/>
    <w:link w:val="NagwekZnak"/>
    <w:uiPriority w:val="99"/>
    <w:unhideWhenUsed/>
    <w:rsid w:val="007A06C1"/>
    <w:pPr>
      <w:tabs>
        <w:tab w:val="center" w:pos="4819"/>
        <w:tab w:val="right" w:pos="9638"/>
      </w:tabs>
      <w:spacing w:after="0" w:line="240" w:lineRule="auto"/>
    </w:pPr>
  </w:style>
  <w:style w:type="character" w:customStyle="1" w:styleId="NagwekZnak">
    <w:name w:val="Nagłówek Znak"/>
    <w:basedOn w:val="Domylnaczcionkaakapitu"/>
    <w:link w:val="Nagwek"/>
    <w:uiPriority w:val="99"/>
    <w:rsid w:val="007A06C1"/>
  </w:style>
  <w:style w:type="paragraph" w:styleId="Stopka">
    <w:name w:val="footer"/>
    <w:basedOn w:val="Normalny"/>
    <w:link w:val="StopkaZnak"/>
    <w:uiPriority w:val="99"/>
    <w:unhideWhenUsed/>
    <w:rsid w:val="007A06C1"/>
    <w:pPr>
      <w:tabs>
        <w:tab w:val="center" w:pos="4819"/>
        <w:tab w:val="right" w:pos="9638"/>
      </w:tabs>
      <w:spacing w:after="0" w:line="240" w:lineRule="auto"/>
    </w:pPr>
  </w:style>
  <w:style w:type="character" w:customStyle="1" w:styleId="StopkaZnak">
    <w:name w:val="Stopka Znak"/>
    <w:basedOn w:val="Domylnaczcionkaakapitu"/>
    <w:link w:val="Stopka"/>
    <w:uiPriority w:val="99"/>
    <w:rsid w:val="007A06C1"/>
  </w:style>
  <w:style w:type="character" w:styleId="Hipercze">
    <w:name w:val="Hyperlink"/>
    <w:basedOn w:val="Domylnaczcionkaakapitu"/>
    <w:uiPriority w:val="99"/>
    <w:semiHidden/>
    <w:unhideWhenUsed/>
    <w:rsid w:val="00B83404"/>
    <w:rPr>
      <w:color w:val="0000FF"/>
      <w:u w:val="single"/>
    </w:rPr>
  </w:style>
  <w:style w:type="character" w:styleId="UyteHipercze">
    <w:name w:val="FollowedHyperlink"/>
    <w:basedOn w:val="Domylnaczcionkaakapitu"/>
    <w:uiPriority w:val="99"/>
    <w:semiHidden/>
    <w:unhideWhenUsed/>
    <w:rsid w:val="00B83404"/>
    <w:rPr>
      <w:color w:val="96607D" w:themeColor="followedHyperlink"/>
      <w:u w:val="single"/>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7" Type="http://schemas.openxmlformats.org/officeDocument/2006/relationships/image" Target="media/image6.png"/><Relationship Id="rId2" Type="http://schemas.openxmlformats.org/officeDocument/2006/relationships/hyperlink" Target="https://vrchem.pk.edu.pl/" TargetMode="External"/><Relationship Id="rId1" Type="http://schemas.openxmlformats.org/officeDocument/2006/relationships/image" Target="media/image1.jpg"/><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3F496-1389-D94B-AF69-1872DA569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170</Words>
  <Characters>1020</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Grifo'</dc:creator>
  <cp:keywords/>
  <dc:description/>
  <cp:lastModifiedBy>Sebastian Pater</cp:lastModifiedBy>
  <cp:revision>7</cp:revision>
  <dcterms:created xsi:type="dcterms:W3CDTF">2025-09-02T14:19:00Z</dcterms:created>
  <dcterms:modified xsi:type="dcterms:W3CDTF">2025-12-05T07:34:00Z</dcterms:modified>
</cp:coreProperties>
</file>