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AD5F" w14:textId="44F686E4" w:rsidR="007A06C1" w:rsidRDefault="007A06C1"/>
    <w:p w14:paraId="6861F846" w14:textId="49684380" w:rsidR="0A2D690C" w:rsidRDefault="0A2D690C" w:rsidP="194C5873">
      <w:pPr>
        <w:pStyle w:val="Tytu"/>
        <w:pBdr>
          <w:bottom w:val="single" w:sz="8" w:space="4" w:color="4F81BD"/>
        </w:pBdr>
        <w:spacing w:after="300"/>
        <w:rPr>
          <w:rFonts w:ascii="Aptos" w:eastAsia="Aptos" w:hAnsi="Aptos" w:cs="Aptos"/>
          <w:color w:val="17365D"/>
          <w:sz w:val="52"/>
          <w:szCs w:val="52"/>
        </w:rPr>
      </w:pPr>
      <w:r w:rsidRPr="194C5873">
        <w:rPr>
          <w:rFonts w:ascii="Aptos" w:eastAsia="Aptos" w:hAnsi="Aptos" w:cs="Aptos"/>
          <w:color w:val="17365D"/>
          <w:sz w:val="52"/>
          <w:szCs w:val="52"/>
          <w:lang w:val="en-US"/>
        </w:rPr>
        <w:t>Syllabus example in a course that integrates VR</w:t>
      </w:r>
    </w:p>
    <w:p w14:paraId="33A3A37A" w14:textId="4863DD70"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 xml:space="preserve">**Department:** Chemistry  </w:t>
      </w:r>
    </w:p>
    <w:p w14:paraId="55A44888" w14:textId="0F07999E"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**Course: ** Inorganic chemistry</w:t>
      </w:r>
    </w:p>
    <w:p w14:paraId="2CB8779D" w14:textId="298B476C"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**Credits:** 6 ECTS</w:t>
      </w:r>
    </w:p>
    <w:p w14:paraId="2ECDAA77" w14:textId="23F9A64B"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**Duration:** 14 Weeks (incl. 1 immersive VR week)</w:t>
      </w:r>
    </w:p>
    <w:p w14:paraId="450FA969" w14:textId="31C49645"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**Delivery:** Blended (Lectures, VR Lab Week, Project Work)</w:t>
      </w:r>
    </w:p>
    <w:p w14:paraId="5E60E159" w14:textId="720DC6B0"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**Level:** Undergraduate (Year 2–3)</w:t>
      </w:r>
    </w:p>
    <w:p w14:paraId="5062D3D5" w14:textId="5C8901A0"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**Prerequisites:** General Chemistry</w:t>
      </w:r>
    </w:p>
    <w:p w14:paraId="53989C62" w14:textId="22B3FEC0" w:rsidR="0A2D690C" w:rsidRDefault="0A2D690C" w:rsidP="194C5873">
      <w:pPr>
        <w:pStyle w:val="Nagwek1"/>
        <w:spacing w:before="480" w:after="0"/>
        <w:rPr>
          <w:rFonts w:ascii="Aptos" w:eastAsia="Aptos" w:hAnsi="Aptos" w:cs="Aptos"/>
          <w:color w:val="365F91"/>
          <w:sz w:val="28"/>
          <w:szCs w:val="28"/>
        </w:rPr>
      </w:pPr>
      <w:r w:rsidRPr="194C5873">
        <w:rPr>
          <w:rFonts w:ascii="Aptos" w:eastAsia="Aptos" w:hAnsi="Aptos" w:cs="Aptos"/>
          <w:b/>
          <w:bCs/>
          <w:color w:val="365F91"/>
          <w:sz w:val="28"/>
          <w:szCs w:val="28"/>
          <w:lang w:val="en-US"/>
        </w:rPr>
        <w:t>Course description</w:t>
      </w:r>
    </w:p>
    <w:p w14:paraId="32A92441" w14:textId="58F712B4"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This course combines traditional chemistry instruction with a one-week intensive VR experience to enhance the understanding of molecular geometry, bonding, and stereochemistry. In the remaining weeks, students will engage in lectures and project-based team work, culminating in the design of a chemical learning aid or visualization tool. The course integrates inclusive pedagogical strategies, ensuring students with disabilities or chronic illnesses can participate meaningfully in all activities, including VR.</w:t>
      </w:r>
    </w:p>
    <w:p w14:paraId="27560B30" w14:textId="40F93162" w:rsidR="0A2D690C" w:rsidRDefault="0A2D690C" w:rsidP="194C5873">
      <w:pPr>
        <w:pStyle w:val="Nagwek1"/>
        <w:spacing w:before="480" w:after="0"/>
        <w:rPr>
          <w:rFonts w:ascii="Aptos" w:eastAsia="Aptos" w:hAnsi="Aptos" w:cs="Aptos"/>
          <w:color w:val="365F91"/>
          <w:sz w:val="28"/>
          <w:szCs w:val="28"/>
        </w:rPr>
      </w:pPr>
      <w:r w:rsidRPr="194C5873">
        <w:rPr>
          <w:rFonts w:ascii="Aptos" w:eastAsia="Aptos" w:hAnsi="Aptos" w:cs="Aptos"/>
          <w:b/>
          <w:bCs/>
          <w:color w:val="365F91"/>
          <w:sz w:val="28"/>
          <w:szCs w:val="28"/>
          <w:lang w:val="en-US"/>
        </w:rPr>
        <w:t>Learning outcomes</w:t>
      </w:r>
    </w:p>
    <w:p w14:paraId="3030D634" w14:textId="392DF1E2"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Interpret molecular structures using 2D and 3D models.</w:t>
      </w:r>
    </w:p>
    <w:p w14:paraId="0D6458B7" w14:textId="5EEE7E01"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Analyze spatial orientation and stereochemistry through immersive and desktop tools.</w:t>
      </w:r>
    </w:p>
    <w:p w14:paraId="6E3B0881" w14:textId="5A50C437"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Collaborate in teams to design and communicate a chemistry concept.</w:t>
      </w:r>
    </w:p>
    <w:p w14:paraId="78124C79" w14:textId="06469A49"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Reflect on the impact of immersion and inclusion in scientific education.</w:t>
      </w:r>
    </w:p>
    <w:p w14:paraId="557B6F02" w14:textId="72820325"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Critically assess limitations and propose inclusive strategies in VR use.</w:t>
      </w:r>
    </w:p>
    <w:p w14:paraId="7418DCAC" w14:textId="2E98BE00" w:rsidR="0A2D690C" w:rsidRDefault="0A2D690C" w:rsidP="194C5873">
      <w:pPr>
        <w:pStyle w:val="Nagwek1"/>
        <w:spacing w:before="480" w:after="0"/>
        <w:rPr>
          <w:rFonts w:ascii="Aptos" w:eastAsia="Aptos" w:hAnsi="Aptos" w:cs="Aptos"/>
          <w:color w:val="365F91"/>
          <w:sz w:val="28"/>
          <w:szCs w:val="28"/>
        </w:rPr>
      </w:pPr>
      <w:r w:rsidRPr="194C5873">
        <w:rPr>
          <w:rFonts w:ascii="Aptos" w:eastAsia="Aptos" w:hAnsi="Aptos" w:cs="Aptos"/>
          <w:b/>
          <w:bCs/>
          <w:color w:val="365F91"/>
          <w:sz w:val="28"/>
          <w:szCs w:val="28"/>
          <w:lang w:val="en-US"/>
        </w:rPr>
        <w:t>Weekly structure</w:t>
      </w:r>
    </w:p>
    <w:tbl>
      <w:tblPr>
        <w:tblStyle w:val="Tabela-Siatk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90"/>
        <w:gridCol w:w="4590"/>
      </w:tblGrid>
      <w:tr w:rsidR="194C5873" w14:paraId="0BF96267" w14:textId="77777777" w:rsidTr="194C5873">
        <w:trPr>
          <w:trHeight w:val="300"/>
        </w:trPr>
        <w:tc>
          <w:tcPr>
            <w:tcW w:w="4590" w:type="dxa"/>
            <w:tcBorders>
              <w:top w:val="single" w:sz="6" w:space="0" w:color="auto"/>
              <w:left w:val="single" w:sz="6" w:space="0" w:color="auto"/>
            </w:tcBorders>
            <w:tcMar>
              <w:left w:w="90" w:type="dxa"/>
              <w:right w:w="90" w:type="dxa"/>
            </w:tcMar>
          </w:tcPr>
          <w:p w14:paraId="0BB4E299" w14:textId="73B3D477"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Weeks</w:t>
            </w:r>
          </w:p>
        </w:tc>
        <w:tc>
          <w:tcPr>
            <w:tcW w:w="4590" w:type="dxa"/>
            <w:tcBorders>
              <w:top w:val="single" w:sz="6" w:space="0" w:color="auto"/>
              <w:right w:val="single" w:sz="6" w:space="0" w:color="auto"/>
            </w:tcBorders>
            <w:tcMar>
              <w:left w:w="90" w:type="dxa"/>
              <w:right w:w="90" w:type="dxa"/>
            </w:tcMar>
          </w:tcPr>
          <w:p w14:paraId="76D235A6" w14:textId="565C6745"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Content focus</w:t>
            </w:r>
          </w:p>
        </w:tc>
      </w:tr>
      <w:tr w:rsidR="194C5873" w14:paraId="0925EF59" w14:textId="77777777" w:rsidTr="194C5873">
        <w:trPr>
          <w:trHeight w:val="300"/>
        </w:trPr>
        <w:tc>
          <w:tcPr>
            <w:tcW w:w="4590" w:type="dxa"/>
            <w:tcBorders>
              <w:left w:val="single" w:sz="6" w:space="0" w:color="auto"/>
            </w:tcBorders>
            <w:tcMar>
              <w:left w:w="90" w:type="dxa"/>
              <w:right w:w="90" w:type="dxa"/>
            </w:tcMar>
          </w:tcPr>
          <w:p w14:paraId="5AE80888" w14:textId="2AEB23EA"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Weeks 1–2</w:t>
            </w:r>
          </w:p>
        </w:tc>
        <w:tc>
          <w:tcPr>
            <w:tcW w:w="4590" w:type="dxa"/>
            <w:tcBorders>
              <w:right w:val="single" w:sz="6" w:space="0" w:color="auto"/>
            </w:tcBorders>
            <w:tcMar>
              <w:left w:w="90" w:type="dxa"/>
              <w:right w:w="90" w:type="dxa"/>
            </w:tcMar>
          </w:tcPr>
          <w:p w14:paraId="39203EBF" w14:textId="699FBAEE"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Introduction to molecular geometry and stereochemistry</w:t>
            </w:r>
          </w:p>
        </w:tc>
      </w:tr>
      <w:tr w:rsidR="194C5873" w14:paraId="12CAB221" w14:textId="77777777" w:rsidTr="194C5873">
        <w:trPr>
          <w:trHeight w:val="300"/>
        </w:trPr>
        <w:tc>
          <w:tcPr>
            <w:tcW w:w="4590" w:type="dxa"/>
            <w:tcBorders>
              <w:left w:val="single" w:sz="6" w:space="0" w:color="auto"/>
            </w:tcBorders>
            <w:tcMar>
              <w:left w:w="90" w:type="dxa"/>
              <w:right w:w="90" w:type="dxa"/>
            </w:tcMar>
          </w:tcPr>
          <w:p w14:paraId="16D244AE" w14:textId="616BF3C0"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Weeks 3–5</w:t>
            </w:r>
          </w:p>
        </w:tc>
        <w:tc>
          <w:tcPr>
            <w:tcW w:w="4590" w:type="dxa"/>
            <w:tcBorders>
              <w:right w:val="single" w:sz="6" w:space="0" w:color="auto"/>
            </w:tcBorders>
            <w:tcMar>
              <w:left w:w="90" w:type="dxa"/>
              <w:right w:w="90" w:type="dxa"/>
            </w:tcMar>
          </w:tcPr>
          <w:p w14:paraId="65D65F57" w14:textId="67254F7F"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Advanced concepts: chirality, isomerism, hybridization</w:t>
            </w:r>
          </w:p>
        </w:tc>
      </w:tr>
      <w:tr w:rsidR="194C5873" w14:paraId="0B293822" w14:textId="77777777" w:rsidTr="194C5873">
        <w:trPr>
          <w:trHeight w:val="300"/>
        </w:trPr>
        <w:tc>
          <w:tcPr>
            <w:tcW w:w="4590" w:type="dxa"/>
            <w:tcBorders>
              <w:left w:val="single" w:sz="6" w:space="0" w:color="auto"/>
            </w:tcBorders>
            <w:tcMar>
              <w:left w:w="90" w:type="dxa"/>
              <w:right w:w="90" w:type="dxa"/>
            </w:tcMar>
          </w:tcPr>
          <w:p w14:paraId="029A0CC8" w14:textId="66931756"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Weeks 6–7</w:t>
            </w:r>
          </w:p>
        </w:tc>
        <w:tc>
          <w:tcPr>
            <w:tcW w:w="4590" w:type="dxa"/>
            <w:tcBorders>
              <w:right w:val="single" w:sz="6" w:space="0" w:color="auto"/>
            </w:tcBorders>
            <w:tcMar>
              <w:left w:w="90" w:type="dxa"/>
              <w:right w:w="90" w:type="dxa"/>
            </w:tcMar>
          </w:tcPr>
          <w:p w14:paraId="18FDF5D9" w14:textId="2B29501D"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Project kickoff: team formation and idea development</w:t>
            </w:r>
          </w:p>
        </w:tc>
      </w:tr>
      <w:tr w:rsidR="194C5873" w14:paraId="5BCE6B84" w14:textId="77777777" w:rsidTr="194C5873">
        <w:trPr>
          <w:trHeight w:val="300"/>
        </w:trPr>
        <w:tc>
          <w:tcPr>
            <w:tcW w:w="4590" w:type="dxa"/>
            <w:tcBorders>
              <w:left w:val="single" w:sz="6" w:space="0" w:color="auto"/>
            </w:tcBorders>
            <w:tcMar>
              <w:left w:w="90" w:type="dxa"/>
              <w:right w:w="90" w:type="dxa"/>
            </w:tcMar>
          </w:tcPr>
          <w:p w14:paraId="1508575A" w14:textId="3D071C75" w:rsidR="194C5873" w:rsidRDefault="194C5873" w:rsidP="194C5873">
            <w:pPr>
              <w:rPr>
                <w:rFonts w:ascii="Aptos" w:eastAsia="Aptos" w:hAnsi="Aptos" w:cs="Aptos"/>
                <w:sz w:val="22"/>
                <w:szCs w:val="22"/>
              </w:rPr>
            </w:pPr>
            <w:r w:rsidRPr="194C5873">
              <w:rPr>
                <w:rFonts w:ascii="Aptos" w:eastAsia="Aptos" w:hAnsi="Aptos" w:cs="Aptos"/>
                <w:sz w:val="22"/>
                <w:szCs w:val="22"/>
                <w:lang w:val="en-US"/>
              </w:rPr>
              <w:lastRenderedPageBreak/>
              <w:t>Week 8</w:t>
            </w:r>
          </w:p>
        </w:tc>
        <w:tc>
          <w:tcPr>
            <w:tcW w:w="4590" w:type="dxa"/>
            <w:tcBorders>
              <w:right w:val="single" w:sz="6" w:space="0" w:color="auto"/>
            </w:tcBorders>
            <w:tcMar>
              <w:left w:w="90" w:type="dxa"/>
              <w:right w:w="90" w:type="dxa"/>
            </w:tcMar>
          </w:tcPr>
          <w:p w14:paraId="7B0EAE3C" w14:textId="735D14BD"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Immersive VR Lab – Exploring molecules in 3D</w:t>
            </w:r>
          </w:p>
        </w:tc>
      </w:tr>
      <w:tr w:rsidR="194C5873" w14:paraId="75A0634A" w14:textId="77777777" w:rsidTr="194C5873">
        <w:trPr>
          <w:trHeight w:val="300"/>
        </w:trPr>
        <w:tc>
          <w:tcPr>
            <w:tcW w:w="4590" w:type="dxa"/>
            <w:tcBorders>
              <w:left w:val="single" w:sz="6" w:space="0" w:color="auto"/>
            </w:tcBorders>
            <w:tcMar>
              <w:left w:w="90" w:type="dxa"/>
              <w:right w:w="90" w:type="dxa"/>
            </w:tcMar>
          </w:tcPr>
          <w:p w14:paraId="5DDD2E9E" w14:textId="5E87544B"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Weeks 9–11</w:t>
            </w:r>
          </w:p>
        </w:tc>
        <w:tc>
          <w:tcPr>
            <w:tcW w:w="4590" w:type="dxa"/>
            <w:tcBorders>
              <w:right w:val="single" w:sz="6" w:space="0" w:color="auto"/>
            </w:tcBorders>
            <w:tcMar>
              <w:left w:w="90" w:type="dxa"/>
              <w:right w:w="90" w:type="dxa"/>
            </w:tcMar>
          </w:tcPr>
          <w:p w14:paraId="335105E6" w14:textId="4DE7A0D2"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Data analysis, reflection on immersive experiences</w:t>
            </w:r>
          </w:p>
        </w:tc>
      </w:tr>
      <w:tr w:rsidR="194C5873" w14:paraId="00AD5F5E" w14:textId="77777777" w:rsidTr="194C5873">
        <w:trPr>
          <w:trHeight w:val="300"/>
        </w:trPr>
        <w:tc>
          <w:tcPr>
            <w:tcW w:w="4590" w:type="dxa"/>
            <w:tcBorders>
              <w:left w:val="single" w:sz="6" w:space="0" w:color="auto"/>
            </w:tcBorders>
            <w:tcMar>
              <w:left w:w="90" w:type="dxa"/>
              <w:right w:w="90" w:type="dxa"/>
            </w:tcMar>
          </w:tcPr>
          <w:p w14:paraId="1BC15A52" w14:textId="05DA0AA5"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Weeks 12–13</w:t>
            </w:r>
          </w:p>
        </w:tc>
        <w:tc>
          <w:tcPr>
            <w:tcW w:w="4590" w:type="dxa"/>
            <w:tcBorders>
              <w:right w:val="single" w:sz="6" w:space="0" w:color="auto"/>
            </w:tcBorders>
            <w:tcMar>
              <w:left w:w="90" w:type="dxa"/>
              <w:right w:w="90" w:type="dxa"/>
            </w:tcMar>
          </w:tcPr>
          <w:p w14:paraId="6781EA99" w14:textId="075C4D91"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Project refinement and peer review</w:t>
            </w:r>
          </w:p>
        </w:tc>
      </w:tr>
      <w:tr w:rsidR="194C5873" w14:paraId="65813121" w14:textId="77777777" w:rsidTr="194C5873">
        <w:trPr>
          <w:trHeight w:val="300"/>
        </w:trPr>
        <w:tc>
          <w:tcPr>
            <w:tcW w:w="4590" w:type="dxa"/>
            <w:tcBorders>
              <w:left w:val="single" w:sz="6" w:space="0" w:color="auto"/>
              <w:bottom w:val="single" w:sz="6" w:space="0" w:color="auto"/>
            </w:tcBorders>
            <w:tcMar>
              <w:left w:w="90" w:type="dxa"/>
              <w:right w:w="90" w:type="dxa"/>
            </w:tcMar>
          </w:tcPr>
          <w:p w14:paraId="6343B02A" w14:textId="283DEA5D"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Week 14</w:t>
            </w:r>
          </w:p>
        </w:tc>
        <w:tc>
          <w:tcPr>
            <w:tcW w:w="4590" w:type="dxa"/>
            <w:tcBorders>
              <w:bottom w:val="single" w:sz="6" w:space="0" w:color="auto"/>
              <w:right w:val="single" w:sz="6" w:space="0" w:color="auto"/>
            </w:tcBorders>
            <w:tcMar>
              <w:left w:w="90" w:type="dxa"/>
              <w:right w:w="90" w:type="dxa"/>
            </w:tcMar>
          </w:tcPr>
          <w:p w14:paraId="549E69AC" w14:textId="331AC52B"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Final presentations and inclusive design reflection</w:t>
            </w:r>
          </w:p>
        </w:tc>
      </w:tr>
    </w:tbl>
    <w:p w14:paraId="057D4699" w14:textId="56147E16" w:rsidR="0A2D690C" w:rsidRDefault="0A2D690C" w:rsidP="194C5873">
      <w:pPr>
        <w:pStyle w:val="Nagwek1"/>
        <w:spacing w:before="480" w:after="0"/>
        <w:rPr>
          <w:rFonts w:ascii="Aptos" w:eastAsia="Aptos" w:hAnsi="Aptos" w:cs="Aptos"/>
          <w:color w:val="365F91"/>
          <w:sz w:val="28"/>
          <w:szCs w:val="28"/>
        </w:rPr>
      </w:pPr>
      <w:r w:rsidRPr="194C5873">
        <w:rPr>
          <w:rFonts w:ascii="Aptos" w:eastAsia="Aptos" w:hAnsi="Aptos" w:cs="Aptos"/>
          <w:b/>
          <w:bCs/>
          <w:color w:val="365F91"/>
          <w:sz w:val="28"/>
          <w:szCs w:val="28"/>
          <w:lang w:val="en-US"/>
        </w:rPr>
        <w:t>Immersive VR week (Week 8)</w:t>
      </w:r>
    </w:p>
    <w:p w14:paraId="2B4F76FB" w14:textId="3D00EC62"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Students will engage in hands-on exploration of complex molecules using VR headsets. Accessible options, including desktop walkthroughs, annotated videos, and simplified control schemes, will be provided. Tasks will include assembling molecules, visualizing orbital overlap, and solving spatial reasoning problems. Inclusive orientation, technical briefings, and alternative assignment formats will be made available before the week begins.</w:t>
      </w:r>
    </w:p>
    <w:p w14:paraId="03624D6C" w14:textId="2A04B663" w:rsidR="0A2D690C" w:rsidRDefault="0A2D690C" w:rsidP="194C5873">
      <w:pPr>
        <w:pStyle w:val="Nagwek1"/>
        <w:spacing w:before="480" w:after="0"/>
        <w:rPr>
          <w:rFonts w:ascii="Aptos" w:eastAsia="Aptos" w:hAnsi="Aptos" w:cs="Aptos"/>
          <w:color w:val="365F91"/>
          <w:sz w:val="28"/>
          <w:szCs w:val="28"/>
        </w:rPr>
      </w:pPr>
      <w:r w:rsidRPr="194C5873">
        <w:rPr>
          <w:rFonts w:ascii="Aptos" w:eastAsia="Aptos" w:hAnsi="Aptos" w:cs="Aptos"/>
          <w:b/>
          <w:bCs/>
          <w:color w:val="365F91"/>
          <w:sz w:val="28"/>
          <w:szCs w:val="28"/>
          <w:lang w:val="en-US"/>
        </w:rPr>
        <w:t>Inclusivity and accessibility strategy</w:t>
      </w:r>
    </w:p>
    <w:p w14:paraId="37D7FA5F" w14:textId="08C8A0FD" w:rsidR="0A2D690C" w:rsidRDefault="0A2D690C" w:rsidP="194C5873">
      <w:p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This course uses an inclusive-by-design approach to support students with diverse abilities and health conditions. Key strategies include:</w:t>
      </w:r>
    </w:p>
    <w:p w14:paraId="1F53402F" w14:textId="779C5E81"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Pre-brief materials in multiple formats (text, audio, visual)</w:t>
      </w:r>
    </w:p>
    <w:p w14:paraId="6A0EAC89" w14:textId="46D3AC12"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VR alternative tasks (desktop simulations, guided videos)</w:t>
      </w:r>
    </w:p>
    <w:p w14:paraId="399F3C65" w14:textId="008C60CB"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Low-motion or seated-mode settings for all VR sessions</w:t>
      </w:r>
    </w:p>
    <w:p w14:paraId="1470FE29" w14:textId="457BE693"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Flexible scheduling and task deadlines for students with fatigue or illness</w:t>
      </w:r>
    </w:p>
    <w:p w14:paraId="5244DC3D" w14:textId="4D68E959"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Non-VR equivalents for immersive tasks, assessed via reflection and diagrammatic reasoning</w:t>
      </w:r>
    </w:p>
    <w:p w14:paraId="45ED2169" w14:textId="4BE78A25"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Confidential accommodation planning with institutional services</w:t>
      </w:r>
    </w:p>
    <w:p w14:paraId="1E06FBCC" w14:textId="69E7A33C" w:rsidR="0A2D690C" w:rsidRDefault="0A2D690C" w:rsidP="194C5873">
      <w:pPr>
        <w:pStyle w:val="Nagwek1"/>
        <w:spacing w:before="480" w:after="0"/>
        <w:rPr>
          <w:rFonts w:ascii="Aptos" w:eastAsia="Aptos" w:hAnsi="Aptos" w:cs="Aptos"/>
          <w:color w:val="365F91"/>
          <w:sz w:val="28"/>
          <w:szCs w:val="28"/>
        </w:rPr>
      </w:pPr>
      <w:r w:rsidRPr="194C5873">
        <w:rPr>
          <w:rFonts w:ascii="Aptos" w:eastAsia="Aptos" w:hAnsi="Aptos" w:cs="Aptos"/>
          <w:b/>
          <w:bCs/>
          <w:color w:val="365F91"/>
          <w:sz w:val="28"/>
          <w:szCs w:val="28"/>
          <w:lang w:val="en-US"/>
        </w:rPr>
        <w:t>Assessment</w:t>
      </w:r>
    </w:p>
    <w:tbl>
      <w:tblPr>
        <w:tblStyle w:val="Tabela-Siatk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50"/>
        <w:gridCol w:w="3150"/>
        <w:gridCol w:w="3150"/>
      </w:tblGrid>
      <w:tr w:rsidR="194C5873" w14:paraId="088778C7" w14:textId="77777777" w:rsidTr="194C5873">
        <w:trPr>
          <w:trHeight w:val="300"/>
        </w:trPr>
        <w:tc>
          <w:tcPr>
            <w:tcW w:w="3150" w:type="dxa"/>
            <w:tcBorders>
              <w:top w:val="single" w:sz="6" w:space="0" w:color="auto"/>
              <w:left w:val="single" w:sz="6" w:space="0" w:color="auto"/>
            </w:tcBorders>
            <w:tcMar>
              <w:left w:w="90" w:type="dxa"/>
              <w:right w:w="90" w:type="dxa"/>
            </w:tcMar>
          </w:tcPr>
          <w:p w14:paraId="0591EEF4" w14:textId="7F4952AD"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Component</w:t>
            </w:r>
          </w:p>
        </w:tc>
        <w:tc>
          <w:tcPr>
            <w:tcW w:w="3150" w:type="dxa"/>
            <w:tcBorders>
              <w:top w:val="single" w:sz="6" w:space="0" w:color="auto"/>
            </w:tcBorders>
            <w:tcMar>
              <w:left w:w="90" w:type="dxa"/>
              <w:right w:w="90" w:type="dxa"/>
            </w:tcMar>
          </w:tcPr>
          <w:p w14:paraId="0A89535A" w14:textId="357CF6B1"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Weight</w:t>
            </w:r>
          </w:p>
        </w:tc>
        <w:tc>
          <w:tcPr>
            <w:tcW w:w="3150" w:type="dxa"/>
            <w:tcBorders>
              <w:top w:val="single" w:sz="6" w:space="0" w:color="auto"/>
              <w:right w:val="single" w:sz="6" w:space="0" w:color="auto"/>
            </w:tcBorders>
            <w:tcMar>
              <w:left w:w="90" w:type="dxa"/>
              <w:right w:w="90" w:type="dxa"/>
            </w:tcMar>
          </w:tcPr>
          <w:p w14:paraId="61FE9C57" w14:textId="21FD4E22"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Description</w:t>
            </w:r>
          </w:p>
        </w:tc>
      </w:tr>
      <w:tr w:rsidR="194C5873" w14:paraId="5C7A597A" w14:textId="77777777" w:rsidTr="194C5873">
        <w:trPr>
          <w:trHeight w:val="300"/>
        </w:trPr>
        <w:tc>
          <w:tcPr>
            <w:tcW w:w="3150" w:type="dxa"/>
            <w:tcBorders>
              <w:left w:val="single" w:sz="6" w:space="0" w:color="auto"/>
            </w:tcBorders>
            <w:tcMar>
              <w:left w:w="90" w:type="dxa"/>
              <w:right w:w="90" w:type="dxa"/>
            </w:tcMar>
          </w:tcPr>
          <w:p w14:paraId="427F752F" w14:textId="0EBFD9C4"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Participation &amp; Discussions</w:t>
            </w:r>
          </w:p>
        </w:tc>
        <w:tc>
          <w:tcPr>
            <w:tcW w:w="3150" w:type="dxa"/>
            <w:tcMar>
              <w:left w:w="90" w:type="dxa"/>
              <w:right w:w="90" w:type="dxa"/>
            </w:tcMar>
          </w:tcPr>
          <w:p w14:paraId="0601FF2F" w14:textId="63AE0554"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15%</w:t>
            </w:r>
          </w:p>
        </w:tc>
        <w:tc>
          <w:tcPr>
            <w:tcW w:w="3150" w:type="dxa"/>
            <w:tcBorders>
              <w:right w:val="single" w:sz="6" w:space="0" w:color="auto"/>
            </w:tcBorders>
            <w:tcMar>
              <w:left w:w="90" w:type="dxa"/>
              <w:right w:w="90" w:type="dxa"/>
            </w:tcMar>
          </w:tcPr>
          <w:p w14:paraId="6C64C961" w14:textId="6BEDB749"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Includes engagement in lectures, VR week, and group work.</w:t>
            </w:r>
          </w:p>
        </w:tc>
      </w:tr>
      <w:tr w:rsidR="194C5873" w14:paraId="0000BBAA" w14:textId="77777777" w:rsidTr="194C5873">
        <w:trPr>
          <w:trHeight w:val="300"/>
        </w:trPr>
        <w:tc>
          <w:tcPr>
            <w:tcW w:w="3150" w:type="dxa"/>
            <w:tcBorders>
              <w:left w:val="single" w:sz="6" w:space="0" w:color="auto"/>
            </w:tcBorders>
            <w:tcMar>
              <w:left w:w="90" w:type="dxa"/>
              <w:right w:w="90" w:type="dxa"/>
            </w:tcMar>
          </w:tcPr>
          <w:p w14:paraId="42284D65" w14:textId="7BA27A9B"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Quizzes (2)</w:t>
            </w:r>
          </w:p>
        </w:tc>
        <w:tc>
          <w:tcPr>
            <w:tcW w:w="3150" w:type="dxa"/>
            <w:tcMar>
              <w:left w:w="90" w:type="dxa"/>
              <w:right w:w="90" w:type="dxa"/>
            </w:tcMar>
          </w:tcPr>
          <w:p w14:paraId="4B9F9385" w14:textId="78B2837B"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20%</w:t>
            </w:r>
          </w:p>
        </w:tc>
        <w:tc>
          <w:tcPr>
            <w:tcW w:w="3150" w:type="dxa"/>
            <w:tcBorders>
              <w:right w:val="single" w:sz="6" w:space="0" w:color="auto"/>
            </w:tcBorders>
            <w:tcMar>
              <w:left w:w="90" w:type="dxa"/>
              <w:right w:w="90" w:type="dxa"/>
            </w:tcMar>
          </w:tcPr>
          <w:p w14:paraId="6F904B30" w14:textId="5AC52D11"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Focused on molecular geometry and stereochemistry.</w:t>
            </w:r>
          </w:p>
        </w:tc>
      </w:tr>
      <w:tr w:rsidR="194C5873" w14:paraId="63C3C27F" w14:textId="77777777" w:rsidTr="194C5873">
        <w:trPr>
          <w:trHeight w:val="300"/>
        </w:trPr>
        <w:tc>
          <w:tcPr>
            <w:tcW w:w="3150" w:type="dxa"/>
            <w:tcBorders>
              <w:left w:val="single" w:sz="6" w:space="0" w:color="auto"/>
            </w:tcBorders>
            <w:tcMar>
              <w:left w:w="90" w:type="dxa"/>
              <w:right w:w="90" w:type="dxa"/>
            </w:tcMar>
          </w:tcPr>
          <w:p w14:paraId="591848A7" w14:textId="0B78D423"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VR Week Reflection Report</w:t>
            </w:r>
          </w:p>
        </w:tc>
        <w:tc>
          <w:tcPr>
            <w:tcW w:w="3150" w:type="dxa"/>
            <w:tcMar>
              <w:left w:w="90" w:type="dxa"/>
              <w:right w:w="90" w:type="dxa"/>
            </w:tcMar>
          </w:tcPr>
          <w:p w14:paraId="0079D1AB" w14:textId="3FA07A1C"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25%</w:t>
            </w:r>
          </w:p>
        </w:tc>
        <w:tc>
          <w:tcPr>
            <w:tcW w:w="3150" w:type="dxa"/>
            <w:tcBorders>
              <w:right w:val="single" w:sz="6" w:space="0" w:color="auto"/>
            </w:tcBorders>
            <w:tcMar>
              <w:left w:w="90" w:type="dxa"/>
              <w:right w:w="90" w:type="dxa"/>
            </w:tcMar>
          </w:tcPr>
          <w:p w14:paraId="5B5FC021" w14:textId="6EC0929A"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Describes experience, spatial learning, and accessibility observations.</w:t>
            </w:r>
          </w:p>
        </w:tc>
      </w:tr>
      <w:tr w:rsidR="194C5873" w14:paraId="5EEAC57A" w14:textId="77777777" w:rsidTr="194C5873">
        <w:trPr>
          <w:trHeight w:val="300"/>
        </w:trPr>
        <w:tc>
          <w:tcPr>
            <w:tcW w:w="3150" w:type="dxa"/>
            <w:tcBorders>
              <w:left w:val="single" w:sz="6" w:space="0" w:color="auto"/>
            </w:tcBorders>
            <w:tcMar>
              <w:left w:w="90" w:type="dxa"/>
              <w:right w:w="90" w:type="dxa"/>
            </w:tcMar>
          </w:tcPr>
          <w:p w14:paraId="6AA7117E" w14:textId="65564559"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Team Project Output</w:t>
            </w:r>
          </w:p>
        </w:tc>
        <w:tc>
          <w:tcPr>
            <w:tcW w:w="3150" w:type="dxa"/>
            <w:tcMar>
              <w:left w:w="90" w:type="dxa"/>
              <w:right w:w="90" w:type="dxa"/>
            </w:tcMar>
          </w:tcPr>
          <w:p w14:paraId="235CB428" w14:textId="4325C107"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25%</w:t>
            </w:r>
          </w:p>
        </w:tc>
        <w:tc>
          <w:tcPr>
            <w:tcW w:w="3150" w:type="dxa"/>
            <w:tcBorders>
              <w:right w:val="single" w:sz="6" w:space="0" w:color="auto"/>
            </w:tcBorders>
            <w:tcMar>
              <w:left w:w="90" w:type="dxa"/>
              <w:right w:w="90" w:type="dxa"/>
            </w:tcMar>
          </w:tcPr>
          <w:p w14:paraId="248A7FD8" w14:textId="595E40B1"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Design and present an inclusive chemistry visualization tool.</w:t>
            </w:r>
          </w:p>
        </w:tc>
      </w:tr>
      <w:tr w:rsidR="194C5873" w14:paraId="09434369" w14:textId="77777777" w:rsidTr="194C5873">
        <w:trPr>
          <w:trHeight w:val="300"/>
        </w:trPr>
        <w:tc>
          <w:tcPr>
            <w:tcW w:w="3150" w:type="dxa"/>
            <w:tcBorders>
              <w:left w:val="single" w:sz="6" w:space="0" w:color="auto"/>
              <w:bottom w:val="single" w:sz="6" w:space="0" w:color="auto"/>
            </w:tcBorders>
            <w:tcMar>
              <w:left w:w="90" w:type="dxa"/>
              <w:right w:w="90" w:type="dxa"/>
            </w:tcMar>
          </w:tcPr>
          <w:p w14:paraId="55011310" w14:textId="0F4340EF"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Final Self-Assessment &amp; Peer Feedback</w:t>
            </w:r>
          </w:p>
        </w:tc>
        <w:tc>
          <w:tcPr>
            <w:tcW w:w="3150" w:type="dxa"/>
            <w:tcBorders>
              <w:bottom w:val="single" w:sz="6" w:space="0" w:color="auto"/>
            </w:tcBorders>
            <w:tcMar>
              <w:left w:w="90" w:type="dxa"/>
              <w:right w:w="90" w:type="dxa"/>
            </w:tcMar>
          </w:tcPr>
          <w:p w14:paraId="7027D161" w14:textId="45E6EA0D"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15%</w:t>
            </w:r>
          </w:p>
        </w:tc>
        <w:tc>
          <w:tcPr>
            <w:tcW w:w="3150" w:type="dxa"/>
            <w:tcBorders>
              <w:bottom w:val="single" w:sz="6" w:space="0" w:color="auto"/>
              <w:right w:val="single" w:sz="6" w:space="0" w:color="auto"/>
            </w:tcBorders>
            <w:tcMar>
              <w:left w:w="90" w:type="dxa"/>
              <w:right w:w="90" w:type="dxa"/>
            </w:tcMar>
          </w:tcPr>
          <w:p w14:paraId="12B06AB4" w14:textId="279EF53C" w:rsidR="194C5873" w:rsidRDefault="194C5873" w:rsidP="194C5873">
            <w:pPr>
              <w:rPr>
                <w:rFonts w:ascii="Aptos" w:eastAsia="Aptos" w:hAnsi="Aptos" w:cs="Aptos"/>
                <w:sz w:val="22"/>
                <w:szCs w:val="22"/>
              </w:rPr>
            </w:pPr>
            <w:r w:rsidRPr="194C5873">
              <w:rPr>
                <w:rFonts w:ascii="Aptos" w:eastAsia="Aptos" w:hAnsi="Aptos" w:cs="Aptos"/>
                <w:sz w:val="22"/>
                <w:szCs w:val="22"/>
                <w:lang w:val="en-US"/>
              </w:rPr>
              <w:t>Evaluation of individual and team contributions.</w:t>
            </w:r>
          </w:p>
        </w:tc>
      </w:tr>
    </w:tbl>
    <w:p w14:paraId="411E74CF" w14:textId="704856BC" w:rsidR="0A2D690C" w:rsidRDefault="0A2D690C" w:rsidP="194C5873">
      <w:pPr>
        <w:pStyle w:val="Nagwek1"/>
        <w:spacing w:before="480" w:after="0"/>
        <w:rPr>
          <w:rFonts w:ascii="Aptos" w:eastAsia="Aptos" w:hAnsi="Aptos" w:cs="Aptos"/>
          <w:color w:val="365F91"/>
          <w:sz w:val="28"/>
          <w:szCs w:val="28"/>
        </w:rPr>
      </w:pPr>
      <w:r w:rsidRPr="194C5873">
        <w:rPr>
          <w:rFonts w:ascii="Aptos" w:eastAsia="Aptos" w:hAnsi="Aptos" w:cs="Aptos"/>
          <w:b/>
          <w:bCs/>
          <w:color w:val="365F91"/>
          <w:sz w:val="28"/>
          <w:szCs w:val="28"/>
          <w:lang w:val="en-US"/>
        </w:rPr>
        <w:lastRenderedPageBreak/>
        <w:t>Team and support roles</w:t>
      </w:r>
    </w:p>
    <w:p w14:paraId="696ECD1B" w14:textId="4BAC8F25"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Instructor – Chemistry content expert, guides all sessions.</w:t>
      </w:r>
    </w:p>
    <w:p w14:paraId="584BDCC8" w14:textId="70B20ADE"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VR Lab Assistant – On-site support and troubleshooting during VR week.</w:t>
      </w:r>
    </w:p>
    <w:p w14:paraId="6C28E2C8" w14:textId="1F26F851" w:rsidR="0A2D690C" w:rsidRDefault="0A2D690C" w:rsidP="194C5873">
      <w:pPr>
        <w:pStyle w:val="Akapitzlist"/>
        <w:numPr>
          <w:ilvl w:val="0"/>
          <w:numId w:val="1"/>
        </w:numPr>
        <w:rPr>
          <w:rFonts w:ascii="Aptos" w:eastAsia="Aptos" w:hAnsi="Aptos" w:cs="Aptos"/>
          <w:color w:val="000000" w:themeColor="text1"/>
          <w:sz w:val="22"/>
          <w:szCs w:val="22"/>
        </w:rPr>
      </w:pPr>
      <w:r w:rsidRPr="194C5873">
        <w:rPr>
          <w:rFonts w:ascii="Aptos" w:eastAsia="Aptos" w:hAnsi="Aptos" w:cs="Aptos"/>
          <w:color w:val="000000" w:themeColor="text1"/>
          <w:sz w:val="22"/>
          <w:szCs w:val="22"/>
          <w:lang w:val="en-US"/>
        </w:rPr>
        <w:t>Peer Mentor – Assists with projects and feedback sessions, coordinates accommodations and alternative formats.</w:t>
      </w:r>
    </w:p>
    <w:p w14:paraId="1996FBF9" w14:textId="662C2236" w:rsidR="00F116D2" w:rsidRDefault="00F116D2"/>
    <w:sectPr w:rsidR="00F116D2">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26C83" w14:textId="77777777" w:rsidR="00625F5D" w:rsidRDefault="00625F5D" w:rsidP="007A06C1">
      <w:pPr>
        <w:spacing w:after="0" w:line="240" w:lineRule="auto"/>
      </w:pPr>
      <w:r>
        <w:separator/>
      </w:r>
    </w:p>
  </w:endnote>
  <w:endnote w:type="continuationSeparator" w:id="0">
    <w:p w14:paraId="75394B1A" w14:textId="77777777" w:rsidR="00625F5D" w:rsidRDefault="00625F5D"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130FD65B">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BE324" w14:textId="77777777" w:rsidR="00625F5D" w:rsidRDefault="00625F5D" w:rsidP="007A06C1">
      <w:pPr>
        <w:spacing w:after="0" w:line="240" w:lineRule="auto"/>
      </w:pPr>
      <w:r>
        <w:separator/>
      </w:r>
    </w:p>
  </w:footnote>
  <w:footnote w:type="continuationSeparator" w:id="0">
    <w:p w14:paraId="0DFB973D" w14:textId="77777777" w:rsidR="00625F5D" w:rsidRDefault="00625F5D"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435499F0" w:rsidR="007A06C1" w:rsidRDefault="00025588">
    <w:pPr>
      <w:pStyle w:val="Nagwek"/>
    </w:pPr>
    <w:r>
      <w:rPr>
        <w:noProof/>
      </w:rPr>
      <w:drawing>
        <wp:anchor distT="0" distB="0" distL="114300" distR="114300" simplePos="0" relativeHeight="251666432" behindDoc="0" locked="0" layoutInCell="1" allowOverlap="1" wp14:anchorId="1FA251CC" wp14:editId="1FF27BB5">
          <wp:simplePos x="0" y="0"/>
          <wp:positionH relativeFrom="column">
            <wp:posOffset>658495</wp:posOffset>
          </wp:positionH>
          <wp:positionV relativeFrom="paragraph">
            <wp:posOffset>10160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59F24E5" wp14:editId="3480A2AD">
          <wp:simplePos x="0" y="0"/>
          <wp:positionH relativeFrom="column">
            <wp:posOffset>3491865</wp:posOffset>
          </wp:positionH>
          <wp:positionV relativeFrom="paragraph">
            <wp:posOffset>-635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9B345C9" wp14:editId="45ED8B1B">
          <wp:simplePos x="0" y="0"/>
          <wp:positionH relativeFrom="column">
            <wp:posOffset>1578610</wp:posOffset>
          </wp:positionH>
          <wp:positionV relativeFrom="paragraph">
            <wp:posOffset>9525</wp:posOffset>
          </wp:positionV>
          <wp:extent cx="1229159" cy="432000"/>
          <wp:effectExtent l="0" t="0" r="0" b="6350"/>
          <wp:wrapNone/>
          <wp:docPr id="1348322677" name="Obraz 1" descr="Obraz zawierający logo, Czcionka, symbol,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677" name="Obraz 1" descr="Obraz zawierający logo, Czcionka, symbol, Grafika&#10;&#10;Zawartość wygenerowana przez AI może być niepopraw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B550539" wp14:editId="44FE76DB">
          <wp:simplePos x="0" y="0"/>
          <wp:positionH relativeFrom="column">
            <wp:posOffset>2889250</wp:posOffset>
          </wp:positionH>
          <wp:positionV relativeFrom="paragraph">
            <wp:posOffset>635</wp:posOffset>
          </wp:positionV>
          <wp:extent cx="481965" cy="431800"/>
          <wp:effectExtent l="0" t="0" r="0" b="6350"/>
          <wp:wrapNone/>
          <wp:docPr id="871078878" name="Obraz 2" descr="Obraz zawierający tekst, Czcionka, Grafika,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8878" name="Obraz 2" descr="Obraz zawierający tekst, Czcionka, Grafika, clipart&#10;&#10;Zawartość wygenerowana przez AI może być niepopraw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8B7798F" wp14:editId="7122868C">
          <wp:simplePos x="0" y="0"/>
          <wp:positionH relativeFrom="column">
            <wp:posOffset>4839335</wp:posOffset>
          </wp:positionH>
          <wp:positionV relativeFrom="paragraph">
            <wp:posOffset>11430</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6A4BCFC" wp14:editId="5490A4A4">
          <wp:simplePos x="0" y="0"/>
          <wp:positionH relativeFrom="column">
            <wp:posOffset>0</wp:posOffset>
          </wp:positionH>
          <wp:positionV relativeFrom="paragraph">
            <wp:posOffset>11430</wp:posOffset>
          </wp:positionV>
          <wp:extent cx="570865" cy="431800"/>
          <wp:effectExtent l="0" t="0" r="635" b="6350"/>
          <wp:wrapNone/>
          <wp:docPr id="272125498" name="Obraz 3" descr="Obraz zawierający Czcionka, zrzut ekranu,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5498" name="Obraz 3" descr="Obraz zawierający Czcionka, zrzut ekranu, Grafika, projekt graficzny&#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B3515"/>
    <w:multiLevelType w:val="hybridMultilevel"/>
    <w:tmpl w:val="B8926BA4"/>
    <w:lvl w:ilvl="0" w:tplc="CC406DC8">
      <w:start w:val="1"/>
      <w:numFmt w:val="bullet"/>
      <w:lvlText w:val=""/>
      <w:lvlJc w:val="left"/>
      <w:pPr>
        <w:ind w:left="360" w:hanging="360"/>
      </w:pPr>
      <w:rPr>
        <w:rFonts w:ascii="Symbol" w:hAnsi="Symbol" w:hint="default"/>
      </w:rPr>
    </w:lvl>
    <w:lvl w:ilvl="1" w:tplc="FBB26F92">
      <w:start w:val="1"/>
      <w:numFmt w:val="bullet"/>
      <w:lvlText w:val="o"/>
      <w:lvlJc w:val="left"/>
      <w:pPr>
        <w:ind w:left="1440" w:hanging="360"/>
      </w:pPr>
      <w:rPr>
        <w:rFonts w:ascii="Courier New" w:hAnsi="Courier New" w:hint="default"/>
      </w:rPr>
    </w:lvl>
    <w:lvl w:ilvl="2" w:tplc="D09C7F86">
      <w:start w:val="1"/>
      <w:numFmt w:val="bullet"/>
      <w:lvlText w:val=""/>
      <w:lvlJc w:val="left"/>
      <w:pPr>
        <w:ind w:left="2160" w:hanging="360"/>
      </w:pPr>
      <w:rPr>
        <w:rFonts w:ascii="Wingdings" w:hAnsi="Wingdings" w:hint="default"/>
      </w:rPr>
    </w:lvl>
    <w:lvl w:ilvl="3" w:tplc="DDEAFC28">
      <w:start w:val="1"/>
      <w:numFmt w:val="bullet"/>
      <w:lvlText w:val=""/>
      <w:lvlJc w:val="left"/>
      <w:pPr>
        <w:ind w:left="2880" w:hanging="360"/>
      </w:pPr>
      <w:rPr>
        <w:rFonts w:ascii="Symbol" w:hAnsi="Symbol" w:hint="default"/>
      </w:rPr>
    </w:lvl>
    <w:lvl w:ilvl="4" w:tplc="44B2BD42">
      <w:start w:val="1"/>
      <w:numFmt w:val="bullet"/>
      <w:lvlText w:val="o"/>
      <w:lvlJc w:val="left"/>
      <w:pPr>
        <w:ind w:left="3600" w:hanging="360"/>
      </w:pPr>
      <w:rPr>
        <w:rFonts w:ascii="Courier New" w:hAnsi="Courier New" w:hint="default"/>
      </w:rPr>
    </w:lvl>
    <w:lvl w:ilvl="5" w:tplc="1182210A">
      <w:start w:val="1"/>
      <w:numFmt w:val="bullet"/>
      <w:lvlText w:val=""/>
      <w:lvlJc w:val="left"/>
      <w:pPr>
        <w:ind w:left="4320" w:hanging="360"/>
      </w:pPr>
      <w:rPr>
        <w:rFonts w:ascii="Wingdings" w:hAnsi="Wingdings" w:hint="default"/>
      </w:rPr>
    </w:lvl>
    <w:lvl w:ilvl="6" w:tplc="D6CCE836">
      <w:start w:val="1"/>
      <w:numFmt w:val="bullet"/>
      <w:lvlText w:val=""/>
      <w:lvlJc w:val="left"/>
      <w:pPr>
        <w:ind w:left="5040" w:hanging="360"/>
      </w:pPr>
      <w:rPr>
        <w:rFonts w:ascii="Symbol" w:hAnsi="Symbol" w:hint="default"/>
      </w:rPr>
    </w:lvl>
    <w:lvl w:ilvl="7" w:tplc="0F9C2F0C">
      <w:start w:val="1"/>
      <w:numFmt w:val="bullet"/>
      <w:lvlText w:val="o"/>
      <w:lvlJc w:val="left"/>
      <w:pPr>
        <w:ind w:left="5760" w:hanging="360"/>
      </w:pPr>
      <w:rPr>
        <w:rFonts w:ascii="Courier New" w:hAnsi="Courier New" w:hint="default"/>
      </w:rPr>
    </w:lvl>
    <w:lvl w:ilvl="8" w:tplc="52807C8C">
      <w:start w:val="1"/>
      <w:numFmt w:val="bullet"/>
      <w:lvlText w:val=""/>
      <w:lvlJc w:val="left"/>
      <w:pPr>
        <w:ind w:left="6480" w:hanging="360"/>
      </w:pPr>
      <w:rPr>
        <w:rFonts w:ascii="Wingdings" w:hAnsi="Wingdings" w:hint="default"/>
      </w:rPr>
    </w:lvl>
  </w:abstractNum>
  <w:num w:numId="1" w16cid:durableId="2142574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5588"/>
    <w:rsid w:val="00027F2F"/>
    <w:rsid w:val="00155493"/>
    <w:rsid w:val="001B6E0F"/>
    <w:rsid w:val="001C67E9"/>
    <w:rsid w:val="002B03C7"/>
    <w:rsid w:val="00306FFD"/>
    <w:rsid w:val="003C7A2A"/>
    <w:rsid w:val="0044546F"/>
    <w:rsid w:val="00625F5D"/>
    <w:rsid w:val="00694DBB"/>
    <w:rsid w:val="007A06C1"/>
    <w:rsid w:val="007C75F7"/>
    <w:rsid w:val="00817421"/>
    <w:rsid w:val="0082143F"/>
    <w:rsid w:val="00A40911"/>
    <w:rsid w:val="00B83404"/>
    <w:rsid w:val="00D3791A"/>
    <w:rsid w:val="00D6385C"/>
    <w:rsid w:val="00F116D2"/>
    <w:rsid w:val="0A2D690C"/>
    <w:rsid w:val="194C58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hyperlink" Target="https://vrchem.pk.edu.pl/" TargetMode="External"/><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497</Words>
  <Characters>2983</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4</cp:revision>
  <dcterms:created xsi:type="dcterms:W3CDTF">2025-09-02T14:19:00Z</dcterms:created>
  <dcterms:modified xsi:type="dcterms:W3CDTF">2025-12-05T07:22:00Z</dcterms:modified>
</cp:coreProperties>
</file>